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DCSO/149/2021 vom 15. April 2021</w:t>
      </w:r>
    </w:p>
    <w:p>
      <w:r>
        <w:t>GE Cour de justice, 2021-04-15, FR</w:t>
      </w:r>
    </w:p>
    <w:p>
      <w:r>
        <w:rPr>
          <w:b/>
        </w:rPr>
        <w:t xml:space="preserve">Quelle: </w:t>
      </w:r>
      <w:r>
        <w:t>https://mcp.opencaselaw.ch/entscheid/ge_gerichte_DCSO_149_2021</w:t>
      </w:r>
    </w:p>
    <w:p>
      <w:r>
        <w:t>FR: GE_GERICHTE DCSO/149/2021 du 15 avril 2021</w:t>
      </w:r>
    </w:p>
    <w:p>
      <w:r>
        <w:t>IT: GE_GERICHTE DCSO/149/2021 del 15 aprile 2021</w:t>
      </w:r>
    </w:p>
    <w:p>
      <w:pPr>
        <w:pStyle w:val="Heading2"/>
      </w:pPr>
      <w:r>
        <w:t>Erwägungen</w:t>
      </w:r>
    </w:p>
    <w:p>
      <w:r>
        <w:rPr>
          <w:b/>
        </w:rPr>
        <w:t>E. 31</w:t>
      </w:r>
    </w:p>
    <w:p>
      <w:r>
        <w:t>juillet 2020 et à la décision de non-lieu de notification, lesquelles n'avaient pas</w:t>
      </w:r>
    </w:p>
    <w:p>
      <w:r>
        <w:t>- 4/7 -</w:t>
      </w:r>
    </w:p>
    <w:p>
      <w:r>
        <w:t>A/3019/2020-CS lieu d'être vu le prononcé de la faillite de la débitrice dont l'Office avait été informé que le 7 juillet 2020.</w:t>
      </w:r>
    </w:p>
    <w:p>
      <w:r>
        <w:t>d. Le greffe la Chambre de surveillance a informé les parties par courrier du 19 octobre 2020 que la cause était gardée à juger. C. La liquidation de la faillite de B______ SARL a été suspendue faute d'actifs le 11 février 2021 et clôturée le 11 mars 2021 en l'absence d'avance de frais permettant la liquidation. La société a été radiée le ______ 2021.</w:t>
      </w:r>
    </w:p>
    <w:p>
      <w:r>
        <w:t>EN DROIT 1. 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 plainte de l'art. 17 LP sert à corriger un vice dans la procédure d'exécution forcée. Lorsque, par cette voie, le plaignant entend seulement faire constater l'acte illicite de l'Office en vue d'obtenir la réparation de son dommage dans un procès en responsabilité contre le canton, voire même obtenir directement cette réparation, sa plainte est irrecevable (ATF 138 III 265 consid. 3.2; ATF 118 III 1 consid. 2b; arrêt du Tribunal fédéral 5A_312/2012 du 18 juillet 2012 consid. 5). Est ainsi notamment irrecevable la prétention en remboursement de frais de poursuite pour valoir réparation partielle du préjudice causé par des actes irréguliers de l'Office (arrêt du Tribunal fédéral 7B_172/2020 du 12 novembre 2020 consid. 2). 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1.3.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1.4. En l'occurrence, la plainte a été déposée dans les dix jours suivant la décision de non-lieu de notification et elle est donc recevable dans la mesure où elle vise cette décision. Or, aucun des griefs adressés à l'Office ne concerne cette décision. S'agissant des décisions de mettre les frais à charge de la plaignante, elles ont été rendues les 21 janvier et 7 juillet 2020; elles ne peuvent être remises en cause par une plainte déposée le 25 septembre 2020.</w:t>
      </w:r>
    </w:p>
    <w:p>
      <w:r>
        <w:t>- 5/7 -</w:t>
      </w:r>
    </w:p>
    <w:p>
      <w:r>
        <w:t>A/3019/2020-CS Quant à la demande de remboursement des frais au motif qu'ils représenteraient un préjudice subi par le créancier requérant du fait de l'inactivité ou d'un traitement déficient de la poursuite par l'Office, elle ne relève pas de la compétence de la Chambre de surveillance. Reste le grief de retard injustifié qui n'est pas soumis à délai et relève de la compétence de la Chambre de céans. 2. 2.1.1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Basler Kommentar, SchKG I, 2ème édition, 2010, n° 31-32 ad art. 17 LP; DIETH/WOHL, Kurz Kommentar, SchKG, 2ème édition, 2014, n° 32 ad art. 17 LP; ERARD, Commentaire Romand, Poursuite et faillite, 2005, n° 55 ad art. 17 LP). 2.1.2 La réquisition de poursuite énonce notamment le nom et le domicile du débiteur (art. 67 LP). Le nom doit être énoncé de manière claire et certaine; une mention insuffisante rend nulle la réquisition de poursuite (ATF 114 III 62 consid. 1a; ATF 98 III 24; ATF 62 III 134). Lorsqu'un défaut affecte la réquisition de poursuite, l'Office peut refuser d'y donner suite, en fixant le cas échéant au poursuivant un délai pour remédier au vice. Lorsque le défaut n'entraîne pas la nullité (art. 22 al. 1 LP) de la réquisition, la jurisprudence prescrit aux offices d'impartir au poursuivant un délai aux fins de rectifier ou compléter les indications viciées, ou de lui demander les renseignements nécessaires. S'agissant du domicile et de l'adresse du débiteur, c'est en premier lieu au poursuivant – et non à l'Office – qu'il incombe de les rechercher, respectivement de vérifier si l'adresse dont il dispose correspond encore à celle du domicile du débiteur; pour sa part, l'Office doit vérifier les indications relatives au domicile du débiteur fournies par le créancier, dès lors que sa compétence à raison du lieu en dépend; l'Office peut rechercher lui-même, aux frais du créancier, le véritable domicile du débiteur ou le demander au créancier en l'invitant à rectifier sa réquisition de poursuite à cet égard (ATF 141 III 173 consid. 2.4 et les références; ATF 120 III 110 cons. 1b; ATF 114 III 62 consid. 1a; ATF 98 III 24; ATF 62 III 134; DCSO/73/2019 du 08 février 2019 consid. 2.1.1 et les références citées; RUEDIN, Commentaire romand, Poursuite et faillite, 2005, n° 11, 17, 18, 49 ad art. 67 LP).</w:t>
      </w:r>
    </w:p>
    <w:p>
      <w:r>
        <w:t>2.1.3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w:t>
      </w:r>
    </w:p>
    <w:p>
      <w:r>
        <w:t>- 6/7 -</w:t>
      </w:r>
    </w:p>
    <w:p>
      <w:r>
        <w:t>A/3019/2020-CS ad art. 71 LP; MALACRIDA/ROESLER, Kurz Kommentar, SchKG, n° 3 ad art. 71 LP).</w:t>
      </w:r>
    </w:p>
    <w:p>
      <w:r>
        <w:t>Une fois le commandement de payer établi conformément à l'article 69 alinéa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articles 64 et suivants LP.</w:t>
      </w:r>
    </w:p>
    <w:p>
      <w:r>
        <w:t>2.2 En l'espèce, l'Office a déployé une activité continue entre janvier et juin 2020 en vue de notifier le commandement de payer à la débitrice ou à son organe, hormis dans la période de suspension liée à la pandémie de COVID-19 et de Pâques. Sa tâche a été rendue ardue par une débitrice sans adresse ni activité et un organe absent. En outre, la créancière, qui est censée connaître son débiteur et pouvoir fournir des informations à l'Office, n'a pas été en mesure de le faire. Finalement, la situation de la débitrice était si obérée que la faillite est rapidement intervenue interrompant les opérations de poursuite. Si la créancière a pu croire, chaque fois qu'elle a interpellé l'Office, que ce dernier ne faisait rien, faute de communication spontanée, il tentait en réalité d'atteindre une débitrice sans activité, ni adresse, aux organes absents et vraisemblablement sans actifs. Dans de telles circonstances la Chambre de céans écartera le reproche de retard injustifié.</w:t>
      </w:r>
    </w:p>
    <w:p>
      <w:r>
        <w:t>2.3 En conclusion, la plainte sera rejetée dans la mesure de sa recevabilité. 3. La procédure de plainte est gratuite (art. 20a al. 2 ch. 5 LP; art. 61 al. 2 let. a OELP) et ne donne pas lieu à l'allocation de dépens (art. 62 al. 2 OELP). * * * * *</w:t>
      </w:r>
    </w:p>
    <w:p>
      <w:r>
        <w:t>- 7/7 -</w:t>
      </w:r>
    </w:p>
    <w:p>
      <w:r>
        <w:t>A/3019/2020-CS PAR CES MOTIFS, La Chambre de surveillance : Rejette la plainte de A______ du 25 septembre 2020 dans la mesure de sa recevabilité. Siégeant : Monsieur Jean REYMOND, président; Madame Natalie OPPATJA et Monsieur Mathieu HOWALD, juges assesseur(e)s; Madame Véronique AMAUDRY-PISCETTA,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