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DCSO/149/2017 vom 22. Dezember 2016</w:t>
      </w:r>
    </w:p>
    <w:p>
      <w:r>
        <w:t>GE Cour de justice, 2016-12-22, FR</w:t>
      </w:r>
    </w:p>
    <w:p>
      <w:r>
        <w:rPr>
          <w:b/>
        </w:rPr>
        <w:t xml:space="preserve">Quelle: </w:t>
      </w:r>
      <w:r>
        <w:t>https://mcp.opencaselaw.ch/entscheid/ge_gerichte_DCSO_149_2017</w:t>
      </w:r>
    </w:p>
    <w:p>
      <w:r>
        <w:t>FR: GE_GERICHTE DCSO/149/2017 du 22 décembre 2016</w:t>
      </w:r>
    </w:p>
    <w:p>
      <w:r>
        <w:t>IT: GE_GERICHTE DCSO/149/2017 del 22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A/4538/2016-CS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continuer la poursuite, l'Office des poursuites vérifie sa compétence à raison du lieu, la validité formelle de la réquisition, l'existence d'un commandement de payer entré en force (sous réserve des cas de continuation directe) et le respect des délais prévus par l'art. 88 al. 1 et 2 LP. Si ces vérifications ne le conduisent pas à refuser de donner suite à la réquisition, il détermine le mode de continuation de la poursuite et, si le débiteur est sujet à la poursuite par voie de saisie, procède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Une fois la saisie exécutée, l'Office en établit le procès-verbal (art. 112 al. 1 LP) puis, à l'expiration du délai de participation de trente jours à compter de l'exécution de la saisie (art. 110 al. 1 LP), le notifie "sans retard" aux créanciers et au débiteur (art. 114 LP).</w:t>
      </w:r>
    </w:p>
    <w:p>
      <w:r>
        <w:t>Le procès-verbal de saisie doit énoncer les noms des créanciers saisissants, soit ceux qui ont requis la continuation de la poursuite jusqu'à trente jours (respectivement quarante jours dans le cas de l'art. 111 LP) après l'exécution de la saisie (art. 110 al. 1 et 112 al. 1 LP).</w:t>
      </w:r>
    </w:p>
    <w:p>
      <w:r>
        <w:rPr>
          <w:b/>
        </w:rPr>
        <w:t>E. 2.3</w:t>
      </w:r>
    </w:p>
    <w:p>
      <w:r>
        <w:t>Il résulte en l'espèce des explications de l'Office et des pièces produites que la saisie a été exécutée plus d'une année après réception de la réquisition de continuer la poursuite. Un tel délai n'est manifestement pas compatible avec l'exigence de célérité imposée par l'art. 89 LP, étant pour le surplus précisé que les démarches accomplies pendant cette période par l'Office (envoi d'un avis de saisie six mois après réception de la réquisition, puis envoi d'une sommation) ne permettent pas d'admettre qu'il aurait agi sans désemparer.</w:t>
      </w:r>
    </w:p>
    <w:p>
      <w:r>
        <w:t>- 4/5 -</w:t>
      </w:r>
    </w:p>
    <w:p>
      <w:r>
        <w:t>A/4538/2016-CS</w:t>
      </w:r>
    </w:p>
    <w:p>
      <w:r>
        <w:t>Contrevient de même à l'art. 114 LP le comportement de l'Office consistant à appliquer un délai dit "de rétention" supplémentaire de trente jours à la communication du procès-verbal de saisie, après expiration du délai de participation de trente jours. Des retards antérieurs dans le traitement des réquisitions de continuer la poursuite ne sauraient en effet justifier l'institution contra legem d'un délai supplémentaire.</w:t>
      </w:r>
    </w:p>
    <w:p>
      <w:r>
        <w:t>Il est ainsi établi que l'Office a tardé sans justification à exécuter la saisie ainsi qu'à notifier le procès-verbal de saisie. Dans la mesure toutefois où ce dernier a été adressé le 27 janvier 2017 aux créanciers – dont la plaignante – et au débiteur, la plainte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- 5/5 -</w:t>
      </w:r>
    </w:p>
    <w:p>
      <w:r>
        <w:t>A/4538/2016-CS PAR CES MOTIFS, La Chambre de surveillance : A la forme : Déclare recevable la plainte pour retard non justifié de la part de l'Office des poursuites formée le 22 décembre 2016 par A______ SA dans la poursuite n° 15 xxxx47 U. Au fond : Constate qu'elle est devenue sans objet. Raye en conséquence la cause du rôle.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