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DCSO/147/2014 vom 5. Juni 2014</w:t>
      </w:r>
    </w:p>
    <w:p>
      <w:r>
        <w:t>GE Cour de justice, 2014-06-05, FR</w:t>
      </w:r>
    </w:p>
    <w:p>
      <w:r>
        <w:rPr>
          <w:b/>
        </w:rPr>
        <w:t xml:space="preserve">Quelle: </w:t>
      </w:r>
      <w:r>
        <w:t>https://mcp.opencaselaw.ch/entscheid/ge_gerichte_DCSO_147_2014</w:t>
      </w:r>
    </w:p>
    <w:p>
      <w:r>
        <w:t>FR: GE_GERICHTE DCSO/147/2014 du 5 juin 2014</w:t>
      </w:r>
    </w:p>
    <w:p>
      <w:r>
        <w:t>IT: GE_GERICHTE DCSO/147/2014 del 5 giugno 2014</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telle la communication de l'état des charges et des conditions de vente d'un immeuble. La plainte a été déposée dans les dix jours de celui où le plaignant a eu connaissance de la mesure (art. 17 al. 2 LP) et répond aux exigences de forme (art. 9 al. 1 LaLP et art. 65 al. 1 et 2 LPA applicable par renvoi de l'art. 9 al. 4 LaLP); elle est donc recevable.</w:t>
      </w:r>
    </w:p>
    <w:p>
      <w:r>
        <w:rPr>
          <w:b/>
        </w:rPr>
        <w:t>E. 2</w:t>
      </w:r>
    </w:p>
    <w:p>
      <w:r>
        <w:t>Sont seuls litigieux le prix d'adjudication minimum de 4'105 fr. et la délégation à l'adjudicataire de l'hypothèque au bénéfice de UBS SA. L'état des charges et les conditions de vente ne sont pas contestés sur d'autres points.</w:t>
      </w:r>
    </w:p>
    <w:p>
      <w:r>
        <w:rPr>
          <w:b/>
        </w:rPr>
        <w:t>E. 3</w:t>
      </w:r>
    </w:p>
    <w:p>
      <w:r>
        <w:t>Les conditions des enchères doivent indiquer que les immeubles sont adjugés avec toutes les charges les grevant (servitudes, charges foncières, gages immobiliers, droits personnels annotés) et que les obligations personnelles du débiteur seront déléguées à l'acquéreur. Les dettes exigibles garanties par gage immobilier ne sont pas déléguées, mais payées par préférence sur le produit de la réalisation (art. 135 LP). L'objet à réaliser est adjugé, à condition que l'offre soit supérieure à la somme des créances garanties par gage préférables à celle du poursuivant (art. 126 al. 1 LP). Pour le calcul du prix d'adjudication, peuvent seules être prises en considération comme créances garanties par gage préférables à celle du poursuivant celles (en capital, intérêts arriérés, intérêts courants jusqu'au jour de la vente, intérêts moratoires et frais de poursuite) qui ont été inscrites à l'état des charges et n'ont pas été contestées (art. 53 al. 1 Ordonnance du Tribunal fédéral sur la réalisation forcée des immeubles; ORFI). La part du prix de réalisation afférente à la créance du poursuivant doit être payée en espèces, sauf convention contraire entre les intéressés (art. 156 al. 1 LP). Est considéré comme</w:t>
      </w:r>
    </w:p>
    <w:p>
      <w:r>
        <w:t>- 6/8 -</w:t>
      </w:r>
    </w:p>
    <w:p>
      <w:r>
        <w:t>A/927/2014-CS "poursuivant" au sens de l'art. 126 LP, le créancier à la requête duquel la vente a été ordonnée et, s'il y en a plusieurs, celui dont le droit de gage est de rang antérieur aux autres (art. al. 1 ORFI).</w:t>
      </w:r>
    </w:p>
    <w:p>
      <w:r>
        <w:rPr>
          <w:b/>
        </w:rPr>
        <w:t>E. 4</w:t>
      </w:r>
    </w:p>
    <w:p>
      <w:r>
        <w:t>En l'espèce, le prix minimum d'adjudication doit, selon le principe de l'offre suffisante sus-évoqué, être supérieur à la somme des créances garanties par gage inscrites à l'état des charges et préférables à celles du poursuivant, à savoir le créancier gagiste à la requête duquel la vente a été ordonnée. Deux créanciers gagistes apparaissent sur l'état des charges. Seule l'Administration fiscale cantonale a agi en recouvrement de sa créance garantie par gage immobilier. Par ailleurs, l'Administration fiscale cantonale est au bénéfice d'une hypothèque légale privilégiée. Ainsi, le prix minimum d'adjudication doit couvrir les gages immobiliers au bénéfice de l'Administration fiscale cantonale, soit 4'105 fr. au total. Par ailleurs, lors du calcul de l'offre minimale nécessaire, les créances garanties par gage immobilier grevant l'immeuble entier ne seront pas prises en considération (art. 73h ORFI), ce qui justifie également de ne pas tenir compte de la créance d'UBS SA garantie par la cédule hypothécaire, qui s'étend sur l'intégralité de la parcelle, alors que les deux hypothèques légales de droit cantonal sont constituées séparément sur chaque part de copropriété. Ainsi, si une offre supérieure à 4'105 fr. est articulée, l'adjudication doit avoir lieu même si l'offre décisive est inférieure - fût-ce notablement - à la valeur d'estimation du gage. En effet, la loi actuelle n'exige plus que l'offre atteigne de surcroît la valeur d'estimation (arrêt du Tribunal fédéral 5A_237/2012 du 10 septembre 2012 consid. 4.4, avec les citations). Enfin, dans la mesure où la créance d'UBS SA garantie par gage immobilier n'est pas exigible, l'Office a à juste titre retenu que cette créance était déléguée à l'adjudicataire (art. 135 LP). Les griefs soulevés par le plaignant sont donc infondés.</w:t>
      </w:r>
    </w:p>
    <w:p>
      <w:r>
        <w:rPr>
          <w:b/>
        </w:rPr>
        <w:t>E. 5</w:t>
      </w:r>
    </w:p>
    <w:p>
      <w:r>
        <w:t>La Chambre relève, enfin, qu'elle ne constate pas d'éléments dans le dossier qui indiqueraient que, contrairement à ce que soutient M. B______, l'Office aurait accordé plusieurs sursis au débiteur sans justification. En effet, l'art. 123 LP autorise l'Office à accorder au débiteur un sursis à la réalisation, si celui-ci rend vraisemblable qu'il peut s'acquitter de sa dette par acomptes réguliers et appropriés. La réalisation peut alors être renvoyée de douze mois au plus. Compte tenu, en l'espèce, de l'acompte versé le 27 septembre 2013, l'Office a reporté la réalisation de six mois, ce qu'il a indiqué dans un courrier du 4 octobre 2013 aux créanciers qui avaient alors déjà requis la vente de l'immeuble. Le débiteur n'ayant pas versé l'acompte dû à fin novembre 2013, l'Office l'a informé le 23 janvier 2014 que le sursis était caduc et a fixé la date de la vente de l'immeuble. Ainsi, un seul sursis a été accordé au plaignant, qui a été révoqué</w:t>
      </w:r>
    </w:p>
    <w:p>
      <w:r>
        <w:t>- 7/8 -</w:t>
      </w:r>
    </w:p>
    <w:p>
      <w:r>
        <w:t>A/927/2014-CS lorsque ce dernier n'a pas honoré son engagement de verser des acomptes, et la date de la vente a été fixée. Il ne peut donc être reproché à l'Office d'avoir, dans la manière de traiter le dossier, violé la loi, fait preuve de laxisme, négligé les intérêts des créanciers ou d'avoir d'une autre manière manifesté une prévention en faveur du débiteur. Il est uniquement regrettable que l'Office n'ait pas réservé une copie à M. B______, qui avait requis la vente par courrier du 8 octobre 2013, de sa communication au débiteur du 18 octobre 2013 et n'ait apparemment pas non plus tenu ce débiteur informé des démarches en cours. Ce constat ne permet toutefois pas de conclure à une prévention en faveur du débiteur.</w:t>
      </w:r>
    </w:p>
    <w:p>
      <w:r>
        <w:rPr>
          <w:b/>
        </w:rPr>
        <w:t>E. 6</w:t>
      </w:r>
    </w:p>
    <w:p>
      <w:r>
        <w:t>La procédure de plainte est gratuite (art. 20a al. 2 ch. 5 LP et art. 61 al. 2 let. a OELP), et il ne peut être alloué aucun dépens (art. 62 al. 2 OELP). * * * * *</w:t>
      </w:r>
    </w:p>
    <w:p>
      <w:r>
        <w:t>- 8/8 -</w:t>
      </w:r>
    </w:p>
    <w:p>
      <w:r>
        <w:t>A/927/2014-CS PAR CES MOTIFS, La Chambre de surveillance : A la forme : Déclare recevable la plainte formée le 28 mars 2014 par M. K______ contre l'état des charges et les conditions de vente de son immeuble sis à B______. Au fond : La rejette. Siégeant : Madame Florence KRAUSKOPF, présidente; Madame Marilyn NAHMANI et Monsieur Christian CHAVAZ,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