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DCSO/143/2020 vom 14. Mai 2020</w:t>
      </w:r>
    </w:p>
    <w:p>
      <w:r>
        <w:t>GE Cour de justice, 2020-05-14, FR</w:t>
      </w:r>
    </w:p>
    <w:p>
      <w:r>
        <w:rPr>
          <w:b/>
        </w:rPr>
        <w:t xml:space="preserve">Quelle: </w:t>
      </w:r>
      <w:r>
        <w:t>https://mcp.opencaselaw.ch/entscheid/ge_gerichte_DCSO_143_2020</w:t>
      </w:r>
    </w:p>
    <w:p>
      <w:r>
        <w:t>FR: GE_GERICHTE DCSO/143/2020 du 14 mai 2020</w:t>
      </w:r>
    </w:p>
    <w:p>
      <w:r>
        <w:t>IT: GE_GERICHTE DCSO/143/2020 del 14 maggio 2020</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w:t>
      </w:r>
    </w:p>
    <w:p>
      <w:r>
        <w:t>La notification d'un commandement de payer, de même que le refus de tenir compte d'une opposition, constituent des mesures sujettes à plainte, que le plaignant, débiteur poursuivi, a qualité pour attaquer par cette voie.</w:t>
      </w:r>
    </w:p>
    <w:p>
      <w:r>
        <w:t>La plainte formée le 10 février 2020 apparait tardive, dès lors que, d'une part, le commandement de payer a été remis à un représentant autorisé du plaignant le 18 octobre 2019 et que, d'autre part, le plaignant a reçu un premier avis de saisie le 13 décembre 2019 puis un second le 14 janvier 2020, lequel faisait suite à un courrier de sa part.</w:t>
      </w:r>
    </w:p>
    <w:p>
      <w:r>
        <w:t>En tant que l'acte adressé le 10 février 2020 à la Chambre de surveillance vaudrait demande implicite de restitution du délai pour former opposition au sens de l'art. 33 al. 4 LP, il est douteux que cette demande soit recevable, le plaignant n'ayant pas agi dans les dix jours dès la fin de l'éventuel empêchement allégué (cf. art. 33 al. 4 LP).</w:t>
      </w:r>
    </w:p>
    <w:p>
      <w:r>
        <w:rPr>
          <w:b/>
        </w:rPr>
        <w:t>E. 2</w:t>
      </w:r>
    </w:p>
    <w:p>
      <w:r>
        <w:t>2.1.1 L'art. 64 al. 1 LP stipule que les actes de poursuite, au nombre desquels figure le commandement de payer, sont notifiés au débiteur dans sa demeure ou à l'endroit où il exerce habituellement sa profession. S'il est absent, l'acte peut être remis à une personne adulte de son ménage ou à un employé.</w:t>
      </w:r>
    </w:p>
    <w:p>
      <w:r>
        <w:t>- 4/6 -</w:t>
      </w:r>
    </w:p>
    <w:p>
      <w:r>
        <w:t>A/520/2020-CS</w:t>
      </w:r>
    </w:p>
    <w:p>
      <w:r>
        <w:t>Le débiteur qui entend former opposition doit, verbalement ou par écrit, en faire la déclaration immédiate à celui qui lui remet le commandement de payer ou à l'Office dans les dix jours à compter de la notification de cet acte (art. 74 al. 1 LP).</w:t>
      </w:r>
    </w:p>
    <w:p>
      <w:r>
        <w:t>Le débiteur peut être invité à retirer un acte de poursuite à l’office des poursuites (BlSchK 2013, p. 28).</w:t>
      </w:r>
    </w:p>
    <w:p>
      <w:r>
        <w:t>2.1.2 La jurisprudence admet la notification qualifiée (art. 64 ss LP) d'un acte de poursuite déterminé à un représentant contractuel que le destinataire - personne physique ou morale - a désigné spécialement à l'office des poursuites dans ce but ou à qui il a délivré une procuration générale (ATF 43 III 18 consid. 3 p. 22-23; arrêts du Tribunal fédéral 5A_750/2013 et 5A_752/2013 du 8 avril 2014 consid. 4.1 et les références; ANGST, BSK SchKG, n. 6 ad art. 64 LP; cf. ég. JEANNERET/LEMBO, CR LP, n° 21 ad art. 64 LP et n° 11 ad art. 65 LP).</w:t>
      </w:r>
    </w:p>
    <w:p>
      <w:r>
        <w:rPr>
          <w:b/>
        </w:rPr>
        <w:t>E. 2.2</w:t>
      </w:r>
    </w:p>
    <w:p>
      <w:r>
        <w:t>En l'occurrence, après plusieurs tentatives de notification du commandement de payer à la demeure du poursuivi, l'Office a tenté de notifier ledit commandement de payer à l'endroit où le plaignant exerce sa profession, une invitation à retirer le commandement de payer ayant notamment été déposée à cette adresse.</w:t>
      </w:r>
    </w:p>
    <w:p>
      <w:r>
        <w:t>Le 18 octobre 2019, l'Office a remis l'acte à un tiers qui s'est présenté au guichet muni d'un pouvoir. Cette procuration, établie sur une formule de l'Office, porte la signature du plaignant et a été établie la veille de la notification. Elle contient l'autorisation expresse de retirer le commandement de payer, de sorte qu'elle est parfaitement valable. Le fait que le plaignant se trouvait en arrêt de travail pour cause de maladie n'affecte pas la validité de la procuration, ce que l'intéressé ne soutient du reste pas.</w:t>
      </w:r>
    </w:p>
    <w:p>
      <w:r>
        <w:t>Il s'ensuit que la notification du commandement de payer intervenue le 18 octobre 2019 est valable. Le délai de dix jours pour former opposition a donc commencé à courir le 19 octobre 2019 pour expirer sans avoir été utilisé le 28 octobre 2019.</w:t>
      </w:r>
    </w:p>
    <w:p>
      <w:r>
        <w:t>Mal fondée, la plainte doit être rejetée.</w:t>
      </w:r>
    </w:p>
    <w:p>
      <w:r>
        <w:rPr>
          <w:b/>
        </w:rPr>
        <w:t>E. 3.1</w:t>
      </w:r>
    </w:p>
    <w:p>
      <w:r>
        <w:t>Le délai d'opposition prévu par l'art. 74 al. 1 LP peut, sur requête motivée déposée auprès de l'autorité de surveillance dans un délai de dix jours à compter de la disparition de l'empêchement, être restitué aux conditions de l'art. 33 al. 4 LP, soit lorsque le débiteur a été empêché sans sa faute d'agir en temps utile et que l'acte omis est accompli dans un délai égal au délai échu, courant à compter de la disparition de l'empêchement. Pour qu'un empêchement non fautif puisse être retenu, il faut que la partie n'ayant pas respecté le délai se soit trouvée, de manière imprévue et sans aucune faute de sa part, dans l'impossibilité non seulement d'accomplir elle-même l'acte omis mais également de mandater une tierce personne à cette fin (ATF 112 V 255 consid. 2a; 119 II 86 consid. 2a; RUSSENBERGER/MINET, in KuKo SchKG, 2ème édition, 2014, n° 22 ad art. 33 LP; NORDMANN, in BK SchKG I, n° 11 ad art. 33 LP). Tel sera le cas, par exemple, en cas d'accident, de maladie grave et soudaine, de service militaire, de faux</w:t>
      </w:r>
    </w:p>
    <w:p>
      <w:r>
        <w:t>- 5/6 -</w:t>
      </w:r>
    </w:p>
    <w:p>
      <w:r>
        <w:t>A/520/2020-CS renseignement donné par l'autorité ou encore d'erreur de transmission (NORDMANN, op. cit., n° 11 ad art. 33 LP et références citées; ERARD, in CR LP, 2005, n° 22 ad art. 33 LP; arrêt du Tribunal fédéral 5A_231/2012 du 21 mai 2012 consid. 2). Une maladie de courte durée, une absence ou une surcharge de travail ne sont en revanche pas constitutives d'un empêchement non fautif (arrêts du Tribunal fédéral 7B.190/2002 du 17 décembre 2002; 7B.108/2004 du 24 juin 2004 consid. 2.2.1; 7B.64/2006 du 9 mai 2006 consid. 3).</w:t>
      </w:r>
    </w:p>
    <w:p>
      <w:r>
        <w:t>Pour qu'il y ait empêchement non fautif, il faut une absence de toute faute quelconque. Les actes du mandataire sont directement imputables au plaignant ou à sa partie adverse comme les siens propres, ce qui importe pour juger du caractère fautif ou non de l'empêchement (ATF 119 II 86, JdT 1994 I 55).</w:t>
      </w:r>
    </w:p>
    <w:p>
      <w:r>
        <w:rPr>
          <w:b/>
        </w:rPr>
        <w:t>E. 3.2</w:t>
      </w:r>
    </w:p>
    <w:p>
      <w:r>
        <w:t>En l'espèce, le fait que le plaignant se trouvait en arrêt pour cause de maladie n'est pas un motif justifiant la restitution du délai. En effet, d'une part, le certificat médical fourni se limite à faire état d'une incapacité de travail pour cause de maladie, sans autre précision, et n'établit pas que le plaignant n'était pas en mesure de défendre ses intérêts. Le fait qu'il ait délivré une procuration à un tiers le 17 octobre 2019, soit précisément au cours de cette période d'incapacité de travail, témoigne du contraire.</w:t>
      </w:r>
    </w:p>
    <w:p>
      <w:r>
        <w:t>En tant que le plaignant affirme, sans l'étayer, que l'employé auquel il avait remis la procuration, dûment instruit, aurait omis de former opposition, il perd de vue que les actes de celui-ci lui sont directement imputables. L'allégation selon laquelle l'Office aurait indiqué audit employé qu'il n'était pas habilité à former opposition, a été présentée pour la première fois dans la réplique, visiblement pour les besoins de la cause et n'emporte pas la conviction.</w:t>
      </w:r>
    </w:p>
    <w:p>
      <w:r>
        <w:t>Aucun empêchement non fautif ne peut donc être retenu, avec pour conséquence que, à supposer qu'une requête de restitution de délai ait été formée en temps utile, elle devrait être rejetée.</w:t>
      </w:r>
    </w:p>
    <w:p>
      <w:r>
        <w:rPr>
          <w:b/>
        </w:rPr>
        <w:t>E. 4</w:t>
      </w:r>
    </w:p>
    <w:p>
      <w:r>
        <w:t>La procédure de plainte est gratuite (art. 20a al. 2 ch. 5 LP et art. 61 al. 2 let. a OELP) et il ne peut être alloué aucuns dépens dans cette procédure (art. 62 al. 2 OELP). * * * * *</w:t>
      </w:r>
    </w:p>
    <w:p>
      <w:r>
        <w:t>- 6/6 -</w:t>
      </w:r>
    </w:p>
    <w:p>
      <w:r>
        <w:t>A/520/2020-CS PAR CES MOTIFS, La Chambre de surveillance : Rejette, dans la mesure de leur recevabilité, la plainte et la requête en restitution du délai pour former opposition formées le 10 février 2020 par A______ dans le cadre de la poursuite n° 1______.</w:t>
      </w:r>
    </w:p>
    <w:p>
      <w:r>
        <w:t>Siégeant : Madame Verena PEDRAZZINI RIZZI, présidente; Madame Marilyn NAHMANI et Monsieur Denis KELLER, juges assesseurs; Madame Véronique AMAUDRY- 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