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DCSO/142/2010 vom 22. März 2004</w:t>
      </w:r>
    </w:p>
    <w:p>
      <w:r>
        <w:t>GE Cour de justice, 2004-03-22, FR</w:t>
      </w:r>
    </w:p>
    <w:p>
      <w:r>
        <w:rPr>
          <w:b/>
        </w:rPr>
        <w:t xml:space="preserve">Quelle: </w:t>
      </w:r>
      <w:r>
        <w:t>https://mcp.opencaselaw.ch/entscheid/ge_gerichte_DCSO_142_2010</w:t>
      </w:r>
    </w:p>
    <w:p>
      <w:r>
        <w:t>FR: GE_GERICHTE DCSO/142/2010 du 22 mars 2004</w:t>
      </w:r>
    </w:p>
    <w:p>
      <w:r>
        <w:t>IT: GE_GERICHTE DCSO/142/2010 del 22 marzo 2004</w:t>
      </w:r>
    </w:p>
    <w:p>
      <w:pPr>
        <w:pStyle w:val="Heading2"/>
      </w:pPr>
      <w:r>
        <w:t>Regeste</w:t>
      </w:r>
    </w:p>
    <w:p>
      <w:r>
        <w:t>Résumé: Plainte rejetée. Les conditions de l'art. 256 LP ont été respectées, notamment quant au délai laissé aux créanciers pour surenchérir. Rejet de la demande de récusation du chargé de faillite avec lequel il entretient des relations difficiles dans la liquidation de cette faillite. Recours au Tribunal fédéral rejeté par arrêt5A_191/2010du 17 juin 2010.</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w:t>
      </w:r>
    </w:p>
    <w:p>
      <w:r>
        <w:t>Lorsque la liquidation sommaire de la faillite a été ordonnée comme en l'espèce (art. 231 al. 1 LP), l’Office procède à la réalisation à l’expiration du délai de production, au mieux des intérêts des créanciers et en observant les art. 256 al. 2 à</w:t>
      </w:r>
    </w:p>
    <w:p>
      <w:r>
        <w:rPr>
          <w:b/>
        </w:rPr>
        <w:t>E. 4</w:t>
      </w:r>
    </w:p>
    <w:p>
      <w:r>
        <w:t>LP, les immeubles ne pouvant être réalisés qu’une fois l’état des charges dressé (art. 231 al. 3 ch. 2 LP ; art. 128 ORFI).</w:t>
      </w:r>
    </w:p>
    <w:p>
      <w:r>
        <w:t>Ainsi, en matière de faillite, la vente de gré à gré ne dépend pas, comme dans la saisie, de conditions matérielles, mais de la décision des créanciers ou, en cas de liquidation sommaire, de l’administration de la faillite, toutefois sous réserve de restrictions. 2.b.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 2.c. La vente de gré à gré d'un bien grevé de gage, tel un immeuble, est soumis à l'approbation de chacun des créanciers gagistes (art. 256 al. 2 LP), accord qui peut être express ou tacite (CR-LP ad art. 256 n° 12). 2.d.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w:t>
      </w:r>
    </w:p>
    <w:p>
      <w:r>
        <w:t>- 11 - se déterminer (CR-LP ad art. 256 n° 13). La loi ne prévoit pas qu'un dossier détaillé soit joint à la circulaire, le créancier intéressé ayant toujours la possibilité d'examiner le dossier à l'Office, voire d'en demander copie. 3.a. En l'espèce, il ressort des pièces du dossier que l'Office est en possession de l'accord de B______ SA du 5 mars 2008 à la Fondation de valorisation ainsi que de l'accord de cette dernière et de B______ SA se sont vu notifier la circulaire querellée, respectant ainsi les conditions de l'art. 256 al. 2 LP. 3.b. La possibilité de faire une offre supérieure a été offerte aux créanciers selon circulaire du 14 octobre 2009 (art. 256 al. 3 LP), ceux-ci ayant un délai de 10 jours (date de réception du plaignant le 16 octobre 2010 et délai pour formuler une offre, le 26 octobre 2009) pour la formuler et déposer le montant sur le compte de l'Office. Reste à examiner si ce délai n'est pas raisonnable comme le soutient le plaignant. Selon un arrêt du Tribunal fédéral, chambre des poursuites et faillites 7B.69/2005 du 10 juin 2005, le Tribunal fédéral a estimé (cons. 3.2), s'agissant d'un délai de</w:t>
      </w:r>
    </w:p>
    <w:p>
      <w:r>
        <w:rPr>
          <w:b/>
        </w:rPr>
        <w:t>E. 8</w:t>
      </w:r>
    </w:p>
    <w:p>
      <w:r>
        <w:t>jours laissé aux créanciers pour formuler une offre supérieure, que "le délai fixé par l'office dans la circulaire qu'il adresse aux créanciers, en les invitant à formuler une offre supérieure (art. 256 al. 3 LP),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w:t>
      </w:r>
    </w:p>
    <w:p>
      <w:r>
        <w:t>Ainsi, le délai de 10 jours laissé par l'Office aux créanciers pour formuler une offre supérieure doit donc être qualifié de raisonnable au vu de la jurisprudence ci- dessus, n'excluant pas pour l'Office de prendre en considération le cas échéant une offre formulée hors délai.</w:t>
      </w:r>
    </w:p>
    <w:p>
      <w:r>
        <w:t>Quant au délai proprement dit, un délai de 8, 10 voire 12 jours pour un créancier intéressé est largement suffisant pour qu'il détermine si ses liquidités sont suffisantes, puis pour obtenir un accord éventuel quant à un financement par une banque puis pour formuler une offre et pour verser le quart des fonds.</w:t>
      </w:r>
    </w:p>
    <w:p>
      <w:r>
        <w:t>Ce premier grief sera ainsi rejeté 3.c. Le plaignant estime que le lot n° 39 est bradé.</w:t>
      </w:r>
    </w:p>
    <w:p>
      <w:r>
        <w:t>Le plaignant oublie simplement que si le mode de réalisation n'était pas la vente de gré à gré, l'Office aurait procédé à une vente aux enchères au plus offrant (art. 229 al. 3 CO), ce qui aurait conduit, d'expérience, à adjuger ce bien très certainement à un prix bien inférieur.</w:t>
      </w:r>
    </w:p>
    <w:p>
      <w:r>
        <w:t>- 12 -</w:t>
      </w:r>
    </w:p>
    <w:p>
      <w:r>
        <w:t>Il n'appartient pas à la Commission de céans de se déterminer si cette vente constitue un bradage comme le soutient le plaignant, seul lui important de constater que les conditions de l'art. 256 LP et des art. 122 et ss ORFI sont respectées en l'espèce. 3.d. Quant à annuler cette vente du fait qu'elle violerait le processus de commercialisation approuvé par les créanciers gagistes le 5 mars 2008, voire que celui-ci serait inopportun, la Commission de céans constate que le plaignant n'est pas partie ni visée par cet accord et partant, n'a aucun intérêt en l'espèce au respect de cette convention librement consentie entre les créanciers gagistes, pour autant que cette convention n'ait pas été respectée. Ce grief est dès lors irrecevable, faute d'intérêt pour agir du plaignant. 4.a. Le plaignant requiert la récusation du chargé de faillite en charge de ce dossier, M. F______.</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 James T. Peter, n SchKG I, ad art. 10 n° 20 ; Kurt Amonn / Fridolin Walther, Grundriss, 7ème éd. 2003, § 4 n° 33 ; ATF 30 I 819; 36 I 100-101,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 op. cit., no 40 ad art. 10). 4.b. En l’espèce, la Commission de céans a déjà relevé dans une précédente décision (DCSO/401/2009 du 3 septembre 2009, consid. 3.a.) qu'un lourd contentieux</w:t>
      </w:r>
    </w:p>
    <w:p>
      <w:r>
        <w:t>- 13 - opposait les parties. Ce grief a également été traité dans une procédure parallèle (A/2450/2009) suite à une autre plainte du 2 juillet 2009 dans le cadre d'une autre vente de gré à gré, à laquelle la Commission de céans se référera Cela étant, la Commission de céans constate à nouveau que la plainte est dirigée contre l'Office des faillites et son chargé de faillite, à qui l'on reproche dans la circulaire attaquée, un "manque de transparence et de diligence, soit à l'arbitraire total et au non respect des lois et délais légaux" (plainte, page 2). Dans un courrier du 1er octobre 2009 dans le cadre de la procédure A/2450/2009, M. C______ affirme, sous la plume de son conseil, que "la nature de la réponse du chargé de faillite étant incorrecte, il est requis qu'elle lui soit renvoyée pour qu'il la remplace par une réponse civile, sans attaque déloyale constitutive de manœuvre de diversion contre Monsieur C______, contenant toutes les déterminations justes et preuves requises pour l'instruction de la cause." Le moins que puisse relever la Commission de céans est que M. C______, respectivement son conseil, se font l'auteur d'attaques personnelles contre M. F______, pourtant pas partie à cette procédure et ne font pas preuve de la mesure que l'on pourrait attendre d'eux, notamment venant d'un professionnel du droit, en accusant un fonctionnaire de manque de diligence, d'arbitraire ou encore de se faire l'auteur d'attaque déloyale. Que M. F______ ait pu réagir à de tels allégués, en sortant parfois du cadre strict de la procédure en cause dans ses rapports pour se défendre, ne saurait pas être constitutif d'opinion préconçue au sens de l'art. 10 al. 1 ch. 4 LP et d'obligation de sa part de devoir se récuser dans un dossier aussi difficile et complexe que celui- ci. Il convient de noter que M. F______ s'est contenté dans la présente plainte d'un développement purement juridique, aux propos totalement mesurés. Quant à la décision attaquée rendue dans le pur respect de la loi (art. 256 LP), celle-ci ne saurait être annulée au motif que M. F______ aurait dû se récuser. La plainte sera ainsi rejetée dans la mesure de sa recevabilité.</w:t>
      </w:r>
    </w:p>
    <w:p>
      <w:r>
        <w:t>- 14 -</w:t>
      </w:r>
    </w:p>
    <w:p>
      <w:r>
        <w:t>P A R C E S M O T I F S , L A C O M M I S S I O N D E S U R V E I L L A N C E S I É G E A N T E N S E C T I O N : A la forme : Déclare recevable la plainte formée le 26 octobre 2009 par M. C______ contre la circulaire du 14 octobre 2009 dans le cadre de la faillite n° 2004 000xxx J. Au fond : 1. La rejette dans la mesure de sa recevabilité. 2. Déboute les parties de toutes autres conclusions.</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