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DCSO/142/2008 vom 11. April 2008</w:t>
      </w:r>
    </w:p>
    <w:p>
      <w:r>
        <w:t>GE Cour de justice, 2008-04-11, FR</w:t>
      </w:r>
    </w:p>
    <w:p>
      <w:r>
        <w:rPr>
          <w:b/>
        </w:rPr>
        <w:t xml:space="preserve">Quelle: </w:t>
      </w:r>
      <w:r>
        <w:t>https://mcp.opencaselaw.ch/entscheid/ge_gerichte_DCSO_142_2008</w:t>
      </w:r>
    </w:p>
    <w:p>
      <w:r>
        <w:t>FR: GE_GERICHTE DCSO/142/2008 du 11 avril 2008</w:t>
      </w:r>
    </w:p>
    <w:p>
      <w:r>
        <w:t>IT: GE_GERICHTE DCSO/142/2008 del 11 aprile 2008</w:t>
      </w:r>
    </w:p>
    <w:p>
      <w:pPr>
        <w:pStyle w:val="Heading2"/>
      </w:pPr>
      <w:r>
        <w:t>Regeste</w:t>
      </w:r>
    </w:p>
    <w:p>
      <w:r>
        <w:t>Résumé: La Commission de céans, au vu du contexte particulier de l'affaire et compte tenu de son large pouvoir d'appréciation en la matière renonce à infliger une sanction.</w:t>
      </w:r>
    </w:p>
    <w:p>
      <w:pPr>
        <w:pStyle w:val="Heading2"/>
      </w:pPr>
      <w:r>
        <w:t>Erwägungen</w:t>
      </w:r>
    </w:p>
    <w:p>
      <w:r>
        <w:rPr>
          <w:b/>
        </w:rPr>
        <w:t>E. 1</w:t>
      </w:r>
    </w:p>
    <w:p>
      <w:r>
        <w:t>La Commission de céans est compétente pour prononcer les mesures disciplinaires prévues à l'art. 14 al. 2 LP, notamment à l'encontre d'employés de l'Office des poursuites. Elle siège en plénum pour statuer en la matière (art. 10 et 11 LaLP ; art. 56 R al. 2 LOJ).</w:t>
      </w:r>
    </w:p>
    <w:p>
      <w:r>
        <w:rPr>
          <w:b/>
        </w:rPr>
        <w:t>E. 2</w:t>
      </w:r>
    </w:p>
    <w:p>
      <w:r>
        <w:t>Les faits constitutifs d'une infraction disciplinaire peuvent ne pas être prévus dans la loi de manière précise en raison du caractère très général des devoirs des personnes soumises au régime disciplinaire. Il n'y a pas de typicité de l'infraction disciplinaire. En revanche, la liste des sanctions est précise et exhaustive. Il en découle qu'est passible d'une sanction disciplinaire toute violation des devoirs de fonction en général, qu'elle ait été commise pendant les heures de travail ou de repos, ce qui implique les délits de droit commun perpétrés en dehors du service, de même que toute violation des devoirs particuliers que requiert une saine application du droit de l'exécution forcée (Pierre-Robert Gilliéron, Commentaire, ad art. 14 n° 16 et 32).</w:t>
      </w:r>
    </w:p>
    <w:p>
      <w:r>
        <w:rPr>
          <w:b/>
        </w:rPr>
        <w:t>E. 3</w:t>
      </w:r>
    </w:p>
    <w:p>
      <w:r>
        <w:t>La responsabilité disciplinaire est subordonnée à la réalisation de trois conditions cumulatives, soit l'existence de rapports de service, la violation de devoirs de fonction et une faute, étant précisé que la négligence suffit.</w:t>
      </w:r>
    </w:p>
    <w:p>
      <w:r>
        <w:t>Le choix de la sanction à prononcer est soumis au principe de la proportionnalité et ne dépend pas seulement des circonstances subjectives de la violation incriminée ou de la prévention générale, mais aussi de l'intérêt objectif à la restauration dans l'esprit du public du rapport de confiance qui a été compromis par la violation du devoir de fonction (Pierre-Robert Gilliéron, op. cit. ad art. 14 n° 17). La gravité de la sanction disciplinaire est ainsi fonction de la nature des intérêts administratifs violés, éléments objectifs, et de la mesure de la faute, critère subjectif. A cette fin, l'autorité de surveillance est limitée par le genre de sanctions prévues par l'art. 14 al. 2 LP, tout en étant libre d'infliger celle qui lui paraît la plus appropriée compte tenu de l'ensemble des circonstances. En tout état, elle dispose d'un large pouvoir d'appréciation et peut renoncer à toute mesure disciplinaire pour des motifs d'opportunité lorsqu'elle considère que le but du droit disciplinaire ne requiert aucune sanction (Franco Lorandi, Betreibungsrechtliche Beschwerde und Nichtigkeit. Kommentar zu den Artikeln 13-30 SchKG, ad art. 14 n° 40 et 42).</w:t>
      </w:r>
    </w:p>
    <w:p>
      <w:r>
        <w:rPr>
          <w:b/>
        </w:rPr>
        <w:t>E. 4</w:t>
      </w:r>
    </w:p>
    <w:p>
      <w:r>
        <w:t>En l'espèce, les faits reprochés au mis en cause et qui ont conduit à un retrait de son permis de conduire pour trois mois, à sa condamnation à une peine pécuniaire de 210 jours-amende et à une amende de 2'000 fr., ainsi qu'à un avertissement de sa hiérarchie, sont graves et incompatibles avec le sens des responsabilités que l'on peut attendre d'un huissier qui doit assumer une fonction d'autorité à l'égard</w:t>
      </w:r>
    </w:p>
    <w:p>
      <w:r>
        <w:t>- 7 - des administrés, étant rappelé que pour remplir la tâche que lui assigne la loi (art. 91 LP), il est doté de pouvoirs d'investigation et de coercition, à l'instar d'un juge chargé d'instruire une enquête pénale ou d'un officier de police judiciaire, et notamment de pouvoir requérir le concours de la force publique. Son comportement est également en contradiction manifeste avec sa position d'huissier responsable d'un secteur et ayant sous ses ordres du personnel dont il doit assumer la gestion.</w:t>
      </w:r>
    </w:p>
    <w:p>
      <w:r>
        <w:t>Cela étant, les faits répréhensibles dont l'intéressé est l'auteur doivent être remis dans leur contexte. Le soir du 19 avril 2007, celui-ci, en l'absence de son épouse, a invité cinq ou six amis à la maison -ce qui, pour lui qui n'a que deux ou trois bons amis qu'il voit tous les deux ou trois mois, est inhabituel-, s'est "laissé aller", a abusé de boissons alcoolisées et, sous leurs effets, a commis les actes dont il est fait état dans la décision du service des automobiles et de la navigation et dans l'ordonnance de condamnation du Procureur général, rappelées ci-dessus. Il en a spontanément informé sa hiérarchie et si le préposé a décidé de lui infliger un avertissement, il est expressément relevé dans la décision que son engagement professionnel n'était pas remis en cause.</w:t>
      </w:r>
    </w:p>
    <w:p>
      <w:r>
        <w:t>La Commission de céans retient, par ailleurs, que les faits dont il est question, ont non seulement eu pour conséquence des sanctions pénale et administrative, mais également des répercussions sur la vie conjugale de son auteur, qui se sent coupable à l'égard de son épouse, et sont aujourd'hui à l'origine de ses difficultés financières.</w:t>
      </w:r>
    </w:p>
    <w:p>
      <w:r>
        <w:t>En outre, il appert que ces évènements ont profondément affecté le mis en cause. Lors de son entretien avec sa hiérarchie le 21 janvier 2008, il a, en particulier, déclaré : "En terme de dérapage, j'admets que c'est ce que j'ai fait de pire dans ma vie", et, lors de son audition par la Commission de céans, : "Je qualifie ce qui s'est passé le 19 au soir comme un évènement tout à fait unique dans ma vie et qui ne se reproduira pas". Conscient de la gravité des faits qu'il avait commis, il s'attendait, comme il l'a dit lors de l'audition précitée, "au pire, soit notamment à une suspension pendant une certaine période, voire à la résiliation de mon contrat de travail".</w:t>
      </w:r>
    </w:p>
    <w:p>
      <w:r>
        <w:t>Enfin, il appert également que l'intéressé a pris des mesures "pour prendre soin de lui" comme le lui demandait le préposé et que les marches qu'il effectue plusieurs fois par jour et le week-end avec son chien doivent lui permettre d'"évacuer le stress" et peut-être aussi d'avoir une vie en dehors de l'Office des poursuites.</w:t>
      </w:r>
    </w:p>
    <w:p>
      <w:r>
        <w:t>Aussi, en vertu du large pouvoir d'appréciation dont elle dispose en la matière, eu égard au contexte particulier de cette affaire et des conséquences qu'elle a déjà</w:t>
      </w:r>
    </w:p>
    <w:p>
      <w:r>
        <w:t>- 8 - eues sur la personne du mis en cause, la Commission de céans considère-t-elle qu'il n'y a pas lieu de lui infliger une sanction.</w:t>
      </w:r>
    </w:p>
    <w:p>
      <w:r>
        <w:t>L'enquête disciplinaire A/667/2008 sera déclarée close.</w:t>
      </w:r>
    </w:p>
    <w:p>
      <w:r>
        <w:t>La présente décision sera transmise à M. C______, préposé de l'Office des poursuites.</w:t>
      </w:r>
    </w:p>
    <w:p>
      <w:r>
        <w:t>* * * * *</w:t>
      </w:r>
    </w:p>
    <w:p>
      <w:r>
        <w:t>- 9 -</w:t>
      </w:r>
    </w:p>
    <w:p>
      <w:r>
        <w:t>P A R C E S M O T I F S , L A C O M M I S S I O N D E S U R V E I L L A N C E S I É G E A N T E N P L E N U M :</w:t>
      </w:r>
    </w:p>
    <w:p>
      <w:r>
        <w:t>1. Renonce à infliger une sanction à M. Z______ . 2. Déclare l'enquête A/667/2008 close.</w:t>
      </w:r>
    </w:p>
    <w:p>
      <w:r>
        <w:t>Siégeant : Mme Ariane WEYENETH, présidente ; M. Philippe GUNTZ, juge ; MM. Didier BROSSET, Christian CHAVAZ, Etienne KISS-BORLASE, Philipp GANZONI, Denis MATHEY, Olivier WEHRLI, Mme Magali ORSINI et Mme Florence CASTELLA, juges assesseur(e)s .</w:t>
      </w:r>
    </w:p>
    <w:p>
      <w:r>
        <w:t>Au nom de la Commission de surveillance : Paulette DORMAN Ariane WEYENETH Greffière : 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