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DCSO/135/2019 vom 12. November 2018</w:t>
      </w:r>
    </w:p>
    <w:p>
      <w:r>
        <w:t>GE Cour de justice, 2018-11-12, FR</w:t>
      </w:r>
    </w:p>
    <w:p>
      <w:r>
        <w:rPr>
          <w:b/>
        </w:rPr>
        <w:t xml:space="preserve">Quelle: </w:t>
      </w:r>
      <w:r>
        <w:t>https://mcp.opencaselaw.ch/entscheid/ge_gerichte_DCSO_135_2019</w:t>
      </w:r>
    </w:p>
    <w:p>
      <w:r>
        <w:t>FR: GE_GERICHTE DCSO/135/2019 du 12 novembre 2018</w:t>
      </w:r>
    </w:p>
    <w:p>
      <w:r>
        <w:t>IT: GE_GERICHTE DCSO/135/2019 del 12 novembre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plaignant prétend que deux exemplaires du commandement de payer, poursuite n° 4______, auraient dû lui être notifiés personnellement, en sa qualité de conjoint de la débitrice poursuivie et de tiers propriétaire.</w:t>
      </w:r>
    </w:p>
    <w:p>
      <w:r>
        <w:rPr>
          <w:b/>
        </w:rPr>
        <w:t>E. 2.1</w:t>
      </w:r>
    </w:p>
    <w:p>
      <w:r>
        <w:t>Dans le cadre d'une poursuite en réalisation de gage, un exemplaire du commandement de payer est également notifié au tiers qui a constitué le gage ou en est devenu propriétaire (art. 153 al. 2 let. a LP; 88 ORFI). Un exemplaire du commandement de payer est également notifié au conjoint du débiteur lorsque l'immeuble grevé est le logement de la famille au sens de l'art. 169 CC (art. 153 al. 2 let b LP; 88 ORFI). Cet exemplaire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w:t>
      </w:r>
    </w:p>
    <w:p>
      <w:r>
        <w:t>- 5/7 -</w:t>
      </w:r>
    </w:p>
    <w:p>
      <w:r>
        <w:t>A/3963/2018-CS 5A_203/2016 du 10 novembre 2016 consid. 4.2.1; 5A_366/2007 du 7 décembre 2007 consid. 4.1). L'art. 153 al. 2 let b LP est une conséquence de la protection instaurée par le législateur dans le droit de la famille à l'égard du conjoint, contre les actes de disposition de son époux sur le logement familial (art. 169 CC; arrêt du Tribunal fédéral P.264/2005 du 17 janvier 2006 consid. 5.2.3.1).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viole les dispositions de l'art. 169 CC (arrêt 4P.264/2005 du 17 janvier 2006 consid. 5.2.3.1 et les références). Le moyen pris de cette disposition n'appartient, en revanche, pas au débiteur (arrêt du Tribunal fédéral 5A_203/2016 déjà cité consid. 4.2.1 et les références). Lorsque l'objet du gage est désigné comme appartenant à un tiers ou servant à l'habitation familiale au cours de la poursuite, il y a lieu de notifier le commandement de payer au tiers ou au conjoint du débiteur pour leur permettre de faire opposition (art. 88 al. 1 et 100 al. 1 ORFI). La vente ne pourra avoir lieu qu'après que ce commandement de payer sera passé en force et qu'il se sera écoulé six mois dès sa notification (art. 100 al. 1 in fine ORFI).</w:t>
      </w:r>
    </w:p>
    <w:p>
      <w:r>
        <w:t>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(DCSO/522/2017 du 12 octobre 2017 consid. 2.1.1; DCSO/16/2014 du 6 mars 2014 consid. 3.1; DCSO/212/2004 du 29 avril 2004 consid. 3b et la réf. citée).</w:t>
      </w:r>
    </w:p>
    <w:p>
      <w:r>
        <w:rPr>
          <w:b/>
        </w:rPr>
        <w:t>E. 2.2</w:t>
      </w:r>
    </w:p>
    <w:p>
      <w:r>
        <w:t>En principe,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w:t>
      </w:r>
    </w:p>
    <w:p>
      <w:r>
        <w:t>- 6/7 -</w:t>
      </w:r>
    </w:p>
    <w:p>
      <w:r>
        <w:t>A/3963/2018-CS rien de plus et pour autant que ses droits soient sauvegardés nonobstant le vice de la notification (ATF 112 III 81 consid. 2).</w:t>
      </w:r>
    </w:p>
    <w:p>
      <w:r>
        <w:rPr>
          <w:b/>
        </w:rPr>
        <w:t>E. 2.3</w:t>
      </w:r>
    </w:p>
    <w:p>
      <w:r>
        <w:t>En l'espèce, le plaignant a manifestement eu connaissance des commandements notifiés par l'Office le 2 novembre 2018 dans le cadre des poursuites nos 3______ et 4______. En effet, ces actes ont été communiqués à son avocat – qui est également le conseil de son épouse – dans le délai de dix jours de l'art. 74 LP, de sorte que celui-ci a pu s'adresser à l'Office le 12 novembre 2018 (date du dépôt de la plainte) pour former opposition à ces poursuites au nom de ses mandants. Il semblerait que le plaignant a renoncé à s'opposer personnellement à la poursuite n° 4______. Cela étant, l'épouse du plaignant ayant elle-même formé opposition à cette poursuite, les droits de ce dernier demeurent préservés, puisque la procédure d'exécution forcée ne pourra pas aller de l'avant tant que cette opposition n'aura pas été levée. En outre, dans la mesure où le plaignant et son épouse sont codébiteurs solidaires de la créance garantie par gage, une violation de l'art. 169 CC n'entre pas en considération in casu. En conséquence, une nouvelle notification de l'acte en mains du plaignant n'apporterait rien de plus et ne se justifie pas. A cet égard, le fait de pouvoir « gagner du temps » aux fins de réunir les fonds nécessaires pour s'acquitter de la dette – dont le plaignant ne conteste pas l'existence – n'est pas un intérêt digne de protection au sens où l'entend la jurisprudence. Compte tenu de ce qui précède, la plainte, infondée, doit être rejetée.</w:t>
      </w:r>
    </w:p>
    <w:p>
      <w:r>
        <w:rPr>
          <w:b/>
        </w:rPr>
        <w:t>E. 3</w:t>
      </w:r>
    </w:p>
    <w:p>
      <w:r>
        <w:t>La procédure de plainte est gratuite (art. 20a al. 2 ch. 5 LP; 61 al. 2 let. a OELP) et il ne peut être alloué aucuns dépens dans cette procédure (art. 62 al. 2 OELP). * * * * *</w:t>
      </w:r>
    </w:p>
    <w:p>
      <w:r>
        <w:t>- 7/7 -</w:t>
      </w:r>
    </w:p>
    <w:p>
      <w:r>
        <w:t>A/3963/2018-CS PAR CES MOTIFS, La Chambre de surveillance : A la forme : Déclare recevable la plainte formée 12 novembre 2018 par A______ dans le cadre de la poursuite n° 4______. Au fond : La rejette. Siégeant : Madame Nathalie RAPP, présidente; Madame Marilyn NAHMANI et Monsieur Eric DE PREUX,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