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DCSO/132/2016 vom 2. Mai 2016</w:t>
      </w:r>
    </w:p>
    <w:p>
      <w:r>
        <w:t>GE Cour de justice, 2016-05-02, FR</w:t>
      </w:r>
    </w:p>
    <w:p>
      <w:r>
        <w:rPr>
          <w:b/>
        </w:rPr>
        <w:t xml:space="preserve">Quelle: </w:t>
      </w:r>
      <w:r>
        <w:t>https://mcp.opencaselaw.ch/entscheid/ge_gerichte_DCSO_132_2016</w:t>
      </w:r>
    </w:p>
    <w:p>
      <w:r>
        <w:t>FR: GE_GERICHTE DCSO/132/2016 du 2 mai 2016</w:t>
      </w:r>
    </w:p>
    <w:p>
      <w:r>
        <w:t>IT: GE_GERICHTE DCSO/132/2016 del 2 maggio 2016</w:t>
      </w:r>
    </w:p>
    <w:p>
      <w:pPr>
        <w:pStyle w:val="Heading2"/>
      </w:pPr>
      <w:r>
        <w:t>Regeste</w:t>
      </w:r>
    </w:p>
    <w:p>
      <w:r>
        <w:t>Résumé: Administration spéciale : rémunération</w:t>
      </w:r>
    </w:p>
    <w:p>
      <w:pPr>
        <w:pStyle w:val="Heading2"/>
      </w:pPr>
      <w:r>
        <w:t>Erwägungen</w:t>
      </w:r>
    </w:p>
    <w:p>
      <w:r>
        <w:rPr>
          <w:b/>
        </w:rPr>
        <w:t>E. 1.1</w:t>
      </w:r>
    </w:p>
    <w:p>
      <w:r>
        <w:t>Selon l'art. 84 OAOF, applicable aux administrations spéciales par renvoi de l'art. 97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w:t>
      </w:r>
    </w:p>
    <w:p>
      <w:r>
        <w:t>Soumise à l'autorité compétente pour en connaître (art. 6 al. 1 et 7 al. 2 let. c LaLP), et accompagnée d'une liste des prestations pour lesquelles des honoraires spéciaux sont sollicités, la requête de fixation de ses honoraires formée par l'administratrice spéciale pour la période postérieure au 31 décembre 1996 est donc recevable.</w:t>
      </w:r>
    </w:p>
    <w:p>
      <w:r>
        <w:rPr>
          <w:b/>
        </w:rPr>
        <w:t>E. 1.2</w:t>
      </w:r>
    </w:p>
    <w:p>
      <w:r>
        <w:t>Contrairement à la décision portant sur la fixation du tarif applicable à la rémunération des membres de l'administration spéciale, qui doit être prise par la Chambre de surveillance dans sa composition plénière, la présente décision, dont l'objet consiste à fixer le montant de la rémunération de l'administratrice spéciale en application du tarif fixé par décision du 11 février 2016, doit être prise par la Chambre de surveillance siégeant dans sa composition à trois juges, conformément à l'art. 7 al. 2 let. c LaLP.</w:t>
      </w:r>
    </w:p>
    <w:p>
      <w:r>
        <w:rPr>
          <w:b/>
        </w:rPr>
        <w:t>E. 2</w:t>
      </w:r>
    </w:p>
    <w:p>
      <w:r>
        <w:t>Par décision du 11 février 2016, la Chambre de surveillance a arrêté à 200 fr. le tarif horaire applicable aux activités déployées par l'administratrice spéciale entre les 1er janvier 1997 et 13 juin 2014.</w:t>
      </w:r>
    </w:p>
    <w:p>
      <w:r>
        <w:t>Selon les factures et autres pièces justificatives fournies par l'administratrice spéciale, les collaborateurs et associés de celle-ci ont consacré 14'659 heures de travail aux activités de liquidation pendant la période considérée. Ce nombre d'heures de travail paraît adéquat et justifié au regard de l'ampleur et de la complexité de la tâche. Les vérifications effectuées sous forme de sondages par la Chambre de céans n'ayant révélé aucune anomalie ni incohérence, les heures de travail invoquées seront dès lors admises. Le montant de la rémunération de l'administratrice spéciale sera en conséquence fixé à 2'931'800 fr. (14'659 heures × 200 fr.) pour la période du 1er janvier 1997 au 13 juin 2014.</w:t>
      </w:r>
    </w:p>
    <w:p>
      <w:r>
        <w:t>- 5/5 -</w:t>
      </w:r>
    </w:p>
    <w:p>
      <w:r>
        <w:t>A/3237/2015-CS PAR CES MOTIFS, La Chambre de surveillance : A la forme : Déclare recevable la demande de fixation de sa rémunération formée le 19 août 2015 par B______ SA en sa qualité d'administratrice spéciale de la faillite de A______ SA, en relation avec l'activité déployée en cette qualité du 1er janvier 1997 au 13 juin 2014. Au fond : Arrête à 2'931'800 fr. le montant de cette rémunération.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