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DCSO/130/2011 vom 14. April 2011</w:t>
      </w:r>
    </w:p>
    <w:p>
      <w:r>
        <w:t>GE Cour de justice, 2011-04-14, FR</w:t>
      </w:r>
    </w:p>
    <w:p>
      <w:r>
        <w:rPr>
          <w:b/>
        </w:rPr>
        <w:t xml:space="preserve">Quelle: </w:t>
      </w:r>
      <w:r>
        <w:t>https://mcp.opencaselaw.ch/entscheid/ge_gerichte_DCSO_130_2011</w:t>
      </w:r>
    </w:p>
    <w:p>
      <w:r>
        <w:t>FR: GE_GERICHTE DCSO/130/2011 du 14 avril 2011</w:t>
      </w:r>
    </w:p>
    <w:p>
      <w:r>
        <w:t>IT: GE_GERICHTE DCSO/130/2011 del 14 aprile 2011</w:t>
      </w:r>
    </w:p>
    <w:p>
      <w:pPr>
        <w:pStyle w:val="Heading2"/>
      </w:pPr>
      <w:r>
        <w:t>Erwägungen</w:t>
      </w:r>
    </w:p>
    <w:p>
      <w:r>
        <w:rPr>
          <w:b/>
        </w:rPr>
        <w:t>E. 2</w:t>
      </w:r>
    </w:p>
    <w:p>
      <w:r>
        <w:t>2.1.1. A teneur de l'art. 92 al. 1 ch. 9a LP, sont insaisissables les rentes versées notamment en application de la loi fédérale du 19 juin 1959 sur l'assurance- invalidité, ainsi que les prestations visées par l'art. 12 de la loi fédérale du 19 mars 1965 sur les prestations complémentaires à l'assurance-vieillesse, survivants et invalidité.</w:t>
      </w:r>
    </w:p>
    <w:p>
      <w:r>
        <w:t>- 5/7 -</w:t>
      </w:r>
    </w:p>
    <w:p>
      <w:r>
        <w:t>A/478/2011-AS</w:t>
      </w:r>
    </w:p>
    <w:p>
      <w:r>
        <w:t>2.1.2. En cas de plainte, l'Office peut, jusqu'à l'envoi de sa réponse, procéder à un nouvel examen de la décision attaquée. S'il prend une nouvelle mesure, il la notifie sans délai aux parties et en donne connaissance à l'autorité de surveillance (art. 17 al. 4 LP).</w:t>
      </w:r>
    </w:p>
    <w:p>
      <w:r>
        <w:t>2.1.3. En l'espèce, il apparaît que les revenus du débiteur sont exclusivement composés de rentes visées par l'art. 92 al. 1 ch. 9a LP, totalisant 2'179 fr. par mois. En effet, à la suite du réexamen de la situation financière dudit débiteur par l'Office avant le dépôt de ses observations du 14 mars 2011, l'existence d'autres revenus ou d'éléments de fortune saisissables n'a pu être constatée par ledit Office. 2.2.1. Cela étant, la quotité du minimum vital insaisissable d'un débiteur, qui est une question d'appréciation et doit être fixée en fonction des circonstances de fait existant lors de l’exécution de la saisie (ATF 7B.200/2003 consid. 4 - non publié aux ATF 130 III 45 - ; ATF 115 III 103, JdT 1991 II 108 consid. 1c), est déterminée sur la base des normes d'insaisissabilité (OP) édictées par la présente Autorité de surveillance pour le canton de Genève, en vigueur lors de l’exécution de la saisie, soit en l'occurrence les normes d'insaisissabilité pour l'année 2011 (E</w:t>
      </w:r>
    </w:p>
    <w:p>
      <w:r>
        <w:rPr>
          <w:b/>
        </w:rPr>
        <w:t>E. 2.3</w:t>
      </w:r>
    </w:p>
    <w:p>
      <w:r>
        <w:t>Il s'ensuit que l'Office a, à bon droit, déclaré le débiteur insaisissable au sens de l'art. 92 LP, sa décision devant être confirmée et la plainte rejetée comme mal fondée.</w:t>
      </w:r>
    </w:p>
    <w:p>
      <w:r>
        <w:rPr>
          <w:b/>
        </w:rPr>
        <w:t>E. 3</w:t>
      </w:r>
    </w:p>
    <w:p>
      <w:r>
        <w:t>Il n'y pas lieu à allocation de dépens (art. 62 al. 2 OELP).</w:t>
      </w:r>
    </w:p>
    <w:p>
      <w:r>
        <w:t>* * * * *</w:t>
      </w:r>
    </w:p>
    <w:p>
      <w:r>
        <w:t>- 7/7 -</w:t>
      </w:r>
    </w:p>
    <w:p>
      <w:r>
        <w:t>A/478/2011-AS PAR CES MOTIFS, L'Autorité de surveillance : A la forme : Déclare recevable la plainte formée le 21 février 2011 par Mme D______ contre le procès-verbal de saisie valant acte de défaut de biens établi par l'Office, le 31 janvier 2011, à l'encontre de M. G______ dans le cadre de la poursuite n° 10 xxxx09 X. Au fond : Rejette cette plainte et confirme le procès-verbal querellé. Déboute les parties de toutes autres conclusions. Siégeant : Madame Valérie LAEMMEL-JUILLARD, présidente; Madame Florence CASTELLA et Monsieur Philippe VEILLARD, juges assesseur(e)s ;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