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DCSO/127/2020 vom 24. April 2020</w:t>
      </w:r>
    </w:p>
    <w:p>
      <w:r>
        <w:t>GE Cour de justice, 2020-04-24, FR</w:t>
      </w:r>
    </w:p>
    <w:p>
      <w:r>
        <w:rPr>
          <w:b/>
        </w:rPr>
        <w:t xml:space="preserve">Quelle: </w:t>
      </w:r>
      <w:r>
        <w:t>https://mcp.opencaselaw.ch/entscheid/ge_gerichte_DCSO_127_2020</w:t>
      </w:r>
    </w:p>
    <w:p>
      <w:r>
        <w:t>FR: GE_GERICHTE DCSO/127/2020 du 24 avril 2020</w:t>
      </w:r>
    </w:p>
    <w:p>
      <w:r>
        <w:t>IT: GE_GERICHTE DCSO/127/2020 del 24 aprile 2020</w:t>
      </w:r>
    </w:p>
    <w:p>
      <w:pPr>
        <w:pStyle w:val="Heading2"/>
      </w:pPr>
      <w:r>
        <w:t>Regeste</w:t>
      </w:r>
    </w:p>
    <w:p>
      <w:r>
        <w:t>Résumé: Notification en main d'un avocat au bénéfice d'une procuration générale contestée par le poursuivi. Portée de l'acceptation de la notification pour l'avocat.</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Contrairement à ce que paraît soutenir le plaignant, la question à résoudre en l'espèce ne concerne pas le for de la poursuite – l'existence d'un for ordinaire de poursuite à Genève n'étant, au vu de son domicile, ni contestable ni contestée – mais la possibilité de procéder à la notification d'actes de poursuite en mains de son représentant.</w:t>
      </w:r>
    </w:p>
    <w:p>
      <w:r>
        <w:rPr>
          <w:b/>
        </w:rPr>
        <w:t>E. 2.1</w:t>
      </w:r>
    </w:p>
    <w:p>
      <w:r>
        <w:t>Applicable à la notification d'actes de poursuite en mains de personnes physiques, l'art. 64 al. 1 LP prévoit que ceux-ci doivent être notifiés au débiteur dans sa demeure ou à l'endroit où il exerce habituellement sa profession; s'il est absent, l'acte peut être remis à une personne adulte de son ménage ou à un employé.</w:t>
      </w:r>
    </w:p>
    <w:p>
      <w:r>
        <w:t>La jurisprudence admet cependant qu'une telle notification puisse intervenir en mains d'un représentant conventionnel du poursuivi (p. ex. un avocat), pour autant que le représentant conventionnel ainsi désigné – personne physique ou morale – soit au bénéfice d'une procuration générale ou d'une procuration portant expressément sur la réception, pour le compte du débiteur, d'actes de poursuite (ATF 43 III 18 consid. 3; arrêt du Tribunal fédéral 5A_45/2015 du 20 avril 2015 consid. 3.2 et références citées). La portée de la procuration est établie selon les règles prévalant en général, spécialement au regard du principe de la confiance (arrêt du Tribunal fédéral 5A_45/2015 précité, consid. 3.2; DONZALLAZ, La notification en droit interne suisse, 2002, § 790 p. 409).</w:t>
      </w:r>
    </w:p>
    <w:p>
      <w:r>
        <w:t>Un avocat mandaté pour la conduite d'un procès n'est pas présumé avoir été autorisé à recevoir les actes de poursuite en relation avec ce procès, à moins que le mandat ne comporte expressément cette faculté (ATF 25 I 121; arrêt du Tribunal fédéral 7B.86/2006 du 8 février 2007 consid. 2.1). Si la procuration conférée à l'avocat a une portée générale, c'est à lui de déterminer – et de manifester de manière reconnaissable pour les autorités de poursuite – si des actes de poursuite peuvent lui être notifiés pour le compte de son mandant. Il peut ainsi refuser toute notification en ses mains. Si en revanche il déclare aux autorités de poursuite qu'une telle notification est possible, ou accepte sans formuler de réserve qu'un acte de poursuite lui soit notifié pour le compte de son mandant, la notification sera valable (ATF 69 III 82 ss., 85).</w:t>
      </w:r>
    </w:p>
    <w:p>
      <w:r>
        <w:rPr>
          <w:b/>
        </w:rPr>
        <w:t>E. 2.2</w:t>
      </w:r>
    </w:p>
    <w:p>
      <w:r>
        <w:t>La sanction d'une notification viciée consiste, lorsque malgré le vice le destinataire de l'acte en a eu connaissance, en l'annulabilité sur plainte de la</w:t>
      </w:r>
    </w:p>
    <w:p>
      <w:r>
        <w:t>- 4/5 -</w:t>
      </w:r>
    </w:p>
    <w:p>
      <w:r>
        <w:t>A/4117/2019-CS notification (ATF 128 III 101 consid. 2). Il n'y a toutefois pas lieu d'ordonner une nouvelle notification si le destinataire n'y a aucun intérêt juridique, ce qui sera le cas s'il a acquis du contenu de l'acte une connaissance telle qu'une nouvelle notification ne lui apporterait aucun renseignement supplémentaire et qu'il a été en mesure de faire valoir ses droits nonobstant le vice (ATF 112 III 81 consid. 2b).</w:t>
      </w:r>
    </w:p>
    <w:p>
      <w:r>
        <w:rPr>
          <w:b/>
        </w:rPr>
        <w:t>E. 2.3</w:t>
      </w:r>
    </w:p>
    <w:p>
      <w:r>
        <w:t>En l'espèce, il doit être retenu que le plaignant a conféré le 7 août 2019 à son avocat une procuration de portée générale : celle-ci ne se réfère en effet à aucune affaire, procédure judiciaire ou administrative ou contexte de fait particulier auxquels les pouvoirs du représentant seraient limités. Lesdits pouvoirs sont au contraire décrits de manière extrêmement larges et englobent tous les actes juridiques susceptibles d'être exercés par un représentant.</w:t>
      </w:r>
    </w:p>
    <w:p>
      <w:r>
        <w:t>Il en résulte, conformément aux principes rappelés ci-dessus, que l'avocat mandaté par le plaignant était libre, dans l'accomplissement de son mandat, d'accepter ou non la notification en ses mains des actes de poursuite litigieux. Dès lors que, par le truchement d'un auxiliaire, il a accepté le 30 octobre 2019 de se faire remettre les commandements de payer pour le compte de son mandant, la notification est donc intervenue valablement.</w:t>
      </w:r>
    </w:p>
    <w:p>
      <w:r>
        <w:t>A cela s'ajoute en tout état, comme le relève l'Office, que le plaignant a aujourd'hui effectivement pris connaissance des commandements de payer et qu'il a été en mesure de faire valoir ses droits, puisqu'il a formé opposition en temps utile. L'annulation des notifications contestées, à supposer même qu'elles aient été affectées d'un vice, aurait donc relevé du formalisme excessif.</w:t>
      </w:r>
    </w:p>
    <w:p>
      <w:r>
        <w:t>La plainte doit donc être rejetée.</w:t>
      </w:r>
    </w:p>
    <w:p>
      <w:r>
        <w:rPr>
          <w:b/>
        </w:rPr>
        <w:t>E. 3</w:t>
      </w:r>
    </w:p>
    <w:p>
      <w:r>
        <w:t>La procédure de plainte est gratuite (art. 20a al. 2 ch. 5 LP et art. 61 al. 2 let. a OELP) et il ne peut être alloué aucuns dépens dans cette procédure (art. 62 al. 2 OELP). * * * * *</w:t>
      </w:r>
    </w:p>
    <w:p>
      <w:r>
        <w:t>- 5/5 -</w:t>
      </w:r>
    </w:p>
    <w:p>
      <w:r>
        <w:t>A/4117/2019-CS PAR CES MOTIFS, La Chambre de surveillance : A la forme : Déclare recevable la plainte formée le 7 novembre 2019 par A______ contre la notification, le 30 octobre 2019, des commandements de payer, poursuites n° 2_____ et n° 3_____. Au fond : La rejette. Siégeant : Monsieur Patrick CHENAUX, président; Madame Natalie OPPATJA et Monsieur Mathieu HOWALD, juges assesseurs; Madame Véronique AMAUDRY-PISCETTA, greffière.</w:t>
      </w:r>
    </w:p>
    <w:p>
      <w:r>
        <w:t>Le président :</w:t>
      </w:r>
    </w:p>
    <w:p>
      <w:r>
        <w:t>La greffière :</w:t>
      </w:r>
    </w:p>
    <w:p>
      <w:r>
        <w:t>Patrick CHENAUX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