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DCSO/127/2018 vom 9. Oktober 2017</w:t>
      </w:r>
    </w:p>
    <w:p>
      <w:r>
        <w:t>GE Cour de justice, 2017-10-09, FR</w:t>
      </w:r>
    </w:p>
    <w:p>
      <w:r>
        <w:rPr>
          <w:b/>
        </w:rPr>
        <w:t xml:space="preserve">Quelle: </w:t>
      </w:r>
      <w:r>
        <w:t>https://mcp.opencaselaw.ch/entscheid/ge_gerichte_DCSO_127_2018</w:t>
      </w:r>
    </w:p>
    <w:p>
      <w:r>
        <w:t>FR: GE_GERICHTE DCSO/127/2018 du 9 octobre 2017</w:t>
      </w:r>
    </w:p>
    <w:p>
      <w:r>
        <w:t>IT: GE_GERICHTE DCSO/127/2018 del 9 ottobre 2017</w:t>
      </w:r>
    </w:p>
    <w:p>
      <w:pPr>
        <w:pStyle w:val="Heading2"/>
      </w:pPr>
      <w:r>
        <w:t>Erwägungen</w:t>
      </w:r>
    </w:p>
    <w:p>
      <w:r>
        <w:rPr>
          <w:b/>
        </w:rPr>
        <w:t>E. 1.1</w:t>
      </w:r>
    </w:p>
    <w:p>
      <w:r>
        <w:t>La plainte, écrite, motivée et comportant des conclusions (art. 9 al. 1 et 2 LaLP, 65 al. 1 et 2 LPA, applicables par renvoi de l'art. 9 al. 4 LaLP), est dirigée contre un acte de l'Office – la décision de porter une prétention à l'inventaire – ne pouvant être contesté par la voie judiciaire (art. 17 al. 1 LP) et a été déposée auprès de l'autorité compétente pour en connaître (art. 6 al.1 et 3 LaLP; 17 al. 1 LP) dans le délai utile de dix jours (art. 17 al. 2 LP) après que le plaignant en ait eu connaissance.</w:t>
      </w:r>
    </w:p>
    <w:p>
      <w:r>
        <w:t>Reste à examiner si le plaignant a la qualité pour porter plainte, condition de recevabilité que la Chambre de surveillance doit examiner d'office (COMETTA/MÖCKLI, BaK SchKG I, 2ème éd., 2010, n. 39 ad art. 17 LP; ERARD, CR LP, 2005, n. 22 ad art. 17 LP).</w:t>
      </w:r>
    </w:p>
    <w:p>
      <w:r>
        <w:rPr>
          <w:b/>
        </w:rPr>
        <w:t>E. 1.2</w:t>
      </w:r>
    </w:p>
    <w:p>
      <w:r>
        <w:t>A qualité pour former une plainte au sens de l'art. 17 LP toute personne touchée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op. cit., n. 40 ad art. 17 LP; DIETH/WOHL, KuKo SchKG, 2ème éd., 2014, n. 9 ad art. 17 LP). Tel sera en principe toujours le cas du débiteur faisant l'objet de la procédure d'exécution forcée ainsi que du ou des créanciers dont les prétentions sont invoquées dans cette procédure (ERARD, op. cit., n. 25 et 26 ad art. 17 LP; COMETTA/MÖCKLI, op. cit., n. 41 ad art. 17 LP; DIETH/WOHL, op. cit., n. 11 et 12 ad art. 17 LP). En ce qui concerne les autres personnes, l'existence d'un intérêt digne de protection à l'annulation ou à la modification de la mesure contestée dépend de l'existence d'un préjudice porté de manière immédiate et directe à leur situation personnelle (GILLIERON, Commentaire LP, n. 154 ad art. 17 LP; DIETH/WOHL, op. cit., n. 15 ad art. 17 LP).</w:t>
      </w:r>
    </w:p>
    <w:p>
      <w:r>
        <w:t>- 6/11 -</w:t>
      </w:r>
    </w:p>
    <w:p>
      <w:r>
        <w:t>A/4085/2017-CS Un tel intérêt digne de protection a ainsi été reconnu au tiers qui se prétend propriétaire d'un bien saisi ou séquestré (ATF 113 III 139 cons. 3), à l'enchérisseur contestant la validité d'une adjudication (ATF 118 III 52) ou encore à l'époux contestant la saisie de salaire de son épouse, avec laquelle il fait ménage commun (ATF 116 III 75 cons. 1a). Il a en revanche été dénié au tiers revendiquant contestant l'estimation des objets saisis par l'Office (ATF 112 III 75 cons. 1), à l'actionnaire d'une société anonyme tombée en faillite (ATF 88 III 28) et au tiers débiteur d'une prétention inventoriée contre sa cession en application des art. 260 ou 131 al. 1 LP (arrêt du Tribunal fédéral 7B.153/2003 du 17 juillet 2003 cons. 3.1), à moins qu'il ne soit en même temps créancier dans la faillite (ATF 119 III 81).</w:t>
      </w:r>
    </w:p>
    <w:p>
      <w:r>
        <w:t>1.3.1 L'art. 221 LP prescrit à l'Office, dès qu'il a reçu communication de l'ouverture de la faillite, de procéder à l'inventaire des biens du failli. L'Office se fondera, notamment, sur les livres comptables et les papiers d'affaires qu'il a pris sous sa garde (art. 223 al. 2 LP), l'interrogatoire du failli (art. 37 let. a OAOF), les envois postaux adressés au failli ou expédiés par lui (art. 38 OAOF), ainsi que les allégations des créanciers, sans égard à l'opinion qu'il peut avoir sur l'appartenance du droit patrimonial à la masse active (GILLIERON, op. cit., n. 11 ss ad art. 221 LP et n. 9 ad art. 242 LP). L'inventaire a pour but de donner une vision d'ensemble sur le patrimoine du failli et d'en assurer la conservation (VOUILLOZ, CR LP, op. cit., n. 3 ad art. 221 LP). L'Office doit porter à l'inventaire l'ensemble des éléments de ce patrimoine, quelle que soit leur nature et leur lieu de situation, et que leur appartenance au failli soit contestée ou non. Il en va notamment ainsi des créances du failli, que celles-ci soient ou non contestées, exigibles ou liquides (LUSTENBERGER, BaK SchKG II, 2010, n. 21 ad art. 221 LP). Les litiges relatifs à l'existence ou au montant d'un droit supposé tombé dans le patrimoine du failli ne relèvent pas de la compétence de l'Office – ni de celle de l'autorité de surveillance – mais de celle du juge civil (LUSTENBERGER, op. cit., n. 21a ad art. 221 LP).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 DCSCO/255/2015 du 20 août 2015, consid. 1.3 et 1.4).</w:t>
      </w:r>
    </w:p>
    <w:p>
      <w:r>
        <w:t>- 7/11 -</w:t>
      </w:r>
    </w:p>
    <w:p>
      <w:r>
        <w:t>A/4085/2017-CS 1.3.2 Une fois inventoriée, il revient à la masse de décider de faire valoir la prétention ou au contraire d'y renoncer. En cas de renonciation, les créanciers qui le demanderont obtiendront qu'il leur soit fait cession de la prétention de façon à pouvoir poursuivre la réalisation du droit litigieux en lieu et place de la masse (art. 260 al. 1 LP; ATF 104 III 23 consid. 2, JdT 1980 II 30). Peuvent faire l'objet d'une cession au sens de l'art. 260 LP, tous les droits appartenant au failli à l'ouverture de la faillite ou qui lui échoient plus tard mais avant la clôture de la faillite ou encore dont la masse est elle-même titulaire, à la condition que ces droits soient litigieux ou douteux et susceptibles d'aboutir à un accroissement du patrimoine de la masse ainsi qu'à une réalisation (TSCHUMY, Quelques réflexions à propos de la cession des droits de la masse au sens de l'art. 260 LP, JdT 1999 II 34 ss, 36). La seule hypothèse reconnue par la jurisprudence permettant à l'Office de refuser d'inventorier un droit est l'incessibilité manifeste, absolument patente, dudit droit (ATF 81 III 122-123, JdT 1956 II 25; ATF 58 III 113, JdT 1933 II 11; ROMY, CR LP, op. cit., n. 4 ad art. 197 LP).</w:t>
      </w:r>
    </w:p>
    <w:p>
      <w:r>
        <w:t>1.4.1 Dans le cas d'espèce, il ressort du dossier que la société faillie a accumulé du retard dans le paiement de son loyer, ce qui a entraîné la résiliation du bail et, par extension, le prononcé de la faillite. Il est donc vraisemblable que F______, bailleresse et propriétaire des locaux loués, ait la qualité de créancière dans la faillite de B______ SA. En revanche, il ne résulte pas du dossier que tel serait également le cas du plaignant. L'existence d'un intérêt digne de protection à obtenir l'annulation ou la modification de la décision attaquée doit donc être examinée au regard de sa qualité de tiers débiteur d'une prétention portée à l'inventaire. A cet égard, il résulte des principes rappelés ci-dessus que le fait d'inventorier une créance à l'égard du plaignant n'a aucune conséquence sur sa situation juridique. Il n'en découle en particulier ni création d'une obligation auparavant inexistante, ni reconnaissance du bien-fondé de la prétention inventoriée, ni constatation de son montant, ces points relevant de la compétence exclusive du juge civil. Le plaignant fait valoir que la mesure attaquée lui cause un dommage sous la forme d'une atteinte à sa réputation. Il invoque toutefois ce préjudice de manière abstraite, en l'absence de toute allégation concrète sur la réputation dont il jouirait effectivement et la manière dont celle-ci serait défavorablement influencée par l'inscription litigieuse. Au surplus, même à supposer que le fait d'inventorier une créance à son encontre puisse causer un dommage réputationnel au plaignant, cela ne signifie pas encore qu'il dispose d'un intérêt digne de protection à contester la décision de l'Office. L'ordre juridique admet en effet que des prétentions dont l'existence est contestée et non établie judiciairement fassent l'objet de démarches</w:t>
      </w:r>
    </w:p>
    <w:p>
      <w:r>
        <w:t>- 8/11 -</w:t>
      </w:r>
    </w:p>
    <w:p>
      <w:r>
        <w:t>A/4085/2017-CS entraînant une certaine publicité, telles que l'introduction d'une requête de conciliation, le dépôt d'une demande en justice ou la notification d'un commandement de payer. Or, sous réserve de l'abus de droit, l'atteinte que ces démarches pourraient causer à la réputation du prétendu débiteur ne lui confère pas un intérêt digne de protection à obtenir leur annulation. 1.4.2 Il reste donc à examiner si l'inscription querellée consacre un abus de droit prohibé par l'art. 2 CC, respectivement si la prétention inventoriée à l'encontre du plaignant peut faire l'objet d'une cession ou si elle est, au contraire, manifestement incessible. En l'occurrence, il ressort des procédures ayant opposé B______ SA à F______ que, suite au congé notifié le 17 décembre 2012, la première a fait valoir des prétentions financières à l'encontre de la seconde, à qui elle reproche de l'avoir empêchée de remettre son fonds de commerce pour le prix de 900'000 fr. et de lui avoir causé un dommage additionnel de 400'000 fr., correspondant aux honoraires d'avocat qu'elle a dû assumer suite aux procédures intentées à son encontre par la bailleresse, ainsi qu'à la perte sur chiffres d'affaire qu'elle a subie en raison des nuisances induites par les travaux effectués en toiture. Il suit de là que les prétentions émises par B______ SA – et reprises par l'administrateur de la faillie dans son courrier du 4 septembre 2017 – se fondent exclusivement sur les rapports de bail ayant lié la faillie et F______ et la supposée violation par cette dernière de ses obligations contractuelles. Par ailleurs, il ressort clairement du dossier que le plaignant n'est pas partie au contrat de bail concerné et qu'il n'est pas en mesure d'engager seul F______, faute de disposer de la signature individuelle. Le troisième paragraphe du courrier susmentionné, qui résume les doléances formulées par B______ SA, se réfère d'ailleurs uniquement à F______ et ne mentionne aucunement le plaignant. La Chambre de céans relève que la prétention inventoriée contre la bailleresse paraît peu étayée, à la lumière notamment du témoignage de G______, lequel a déclaré que son intérêt portait uniquement sur l'emplacement des locaux loués, à l'exclusion de la clientèle des locataires (ce qui laisse à penser que la "reprise" évoquée pourrait être une opération de pas-de-porte), et que le rachat du fonds de commerce était soumis à diverses conditions, impliquant notamment la modification de la chose louée (réunion des locaux du bar et du restaurant). De surcroît, le congé notifié le 17 décembre 2012 a été validé par le Tribunal fédéral, tandis que l'évacuation des locataires a été prononcée suite au congé notifié en octobre 2016 pour défaut de paiement du loyer. Or, si c'est à bon droit que l'Office a inventorié la prétention (contestée) émise à l'encontre de F______, dont il est avéré qu'elle était la co-contractante de B______ SA, force est de constater que la situation diffère notablement en ce qui</w:t>
      </w:r>
    </w:p>
    <w:p>
      <w:r>
        <w:t>- 9/11 -</w:t>
      </w:r>
    </w:p>
    <w:p>
      <w:r>
        <w:t>A/4085/2017-CS concerne le plaignant. En effet, on ne voit tout simplement pas quel pourrait être le fondement de la prétention invoquée à l'encontre de l'intéressé, qui n'a jamais été partie au bail concerné (ce qui exclut la responsabilité contractuelle de l'art. 97 CO) et dont il n'a jamais été allégué qu'il aurait perçu un avantage pécuniaire – à titre strictement personnel – de la part de la faillie (ce qui exclut l'application de l'art. 62 CO). A cela s'ajoute que l'administrateur de la faillie a demandé à ce que le plaignant soit personnellement inscrit à l'inventaire, solidairement avec F______, immédiatement après avoir appris que lui-même y figurait à la requête expresse de la bailleresse. Il apparaît donc que cette démarche a été effectuée dans une logique de représailles et sans poursuivre le moindre but en rapport avec la procédure d'exécution forcée. Ces deux éléments permettent à la Chambre de surveillance de considérer, dans la mesure de son pouvoir de cognition, que la prétention inventoriée contre le plaignant ne constitue pas – de manière claire et évidente – un actif de la masse en faillite de B______ SA susceptible d'être cédé. 1.4.3 Au vu des circonstances particulières du cas d'espèce, la Chambre de céans reconnaîtra au plaignant un intérêt digne de protection à obtenir l'annulation de la mesure querellée. La plainte sera donc admise et l'Office invité à supprimer de l'inventaire la prétention inscrite à l'encontre du plaignant, sous la rubrique C5. En revanche, il ne sera pas entré en matière sur la plainte en tant qu'elle vise, de manière toute générale, à faire interdiction à l'Office "d'inventorier une quelconque créance à l'encontre du plaignant". En effet, la voie de la plainte n'est pas destinée à faire trancher des questions en dehors d'un cas concret.</w:t>
      </w:r>
    </w:p>
    <w:p>
      <w:r>
        <w:rPr>
          <w:b/>
        </w:rPr>
        <w:t>E. 2</w:t>
      </w:r>
    </w:p>
    <w:p>
      <w:r>
        <w:t>La procédure de plainte est gratuite (art. 20a al. 2 ch. 5 LP et art. 61 al. 2 let. a OELP) et il n'est pas alloué de dépens (art. 62 al. 2 OELP).</w:t>
      </w:r>
    </w:p>
    <w:p>
      <w:r>
        <w:t>* * * * *</w:t>
      </w:r>
    </w:p>
    <w:p>
      <w:r>
        <w:t>- 10/11 -</w:t>
      </w:r>
    </w:p>
    <w:p>
      <w:r>
        <w:t>A/4085/2017-CS PAR CES MOTIFS, La Chambre de surveillance : A la forme : Déclare recevable la plainte formée le 9 octobre 2017 par A______ contre la décision du 19 septembre 2017 rendue par l'Office des faillites dans le cadre de la faillite de B______ SA, en liquidation. Au fond : L'admet. Invite l'Office des faillites à supprimer de l'inventaire la prétention inscrite à l'encontre de A______, sous la rubrique C5. Déboute les parties de toutes autres conclusions. Siégeant : Madame Nathalie RAPP, présidente; Madame Marilyn NAHMANI et Monsieur Denis KELLER, juges assesseurs; Madame Véronique PISCETTA, greffière.</w:t>
      </w:r>
    </w:p>
    <w:p>
      <w:r>
        <w:t>La présidente : Nathalie RAPP</w:t>
      </w:r>
    </w:p>
    <w:p>
      <w:r>
        <w:t>La greffière : Véronique PISCETTA</w:t>
      </w:r>
    </w:p>
    <w:p>
      <w:r>
        <w:t>- 11/11 -</w:t>
      </w:r>
    </w:p>
    <w:p>
      <w:r>
        <w:t>A/4085/2017-CS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