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DCSO/124/2012 vom 22. Dezember 2011</w:t>
      </w:r>
    </w:p>
    <w:p>
      <w:r>
        <w:t>GE Cour de justice, 2011-12-22, FR</w:t>
      </w:r>
    </w:p>
    <w:p>
      <w:r>
        <w:rPr>
          <w:b/>
        </w:rPr>
        <w:t xml:space="preserve">Quelle: </w:t>
      </w:r>
      <w:r>
        <w:t>https://mcp.opencaselaw.ch/entscheid/ge_gerichte_DCSO_124_2012</w:t>
      </w:r>
    </w:p>
    <w:p>
      <w:r>
        <w:t>FR: GE_GERICHTE DCSO/124/2012 du 22 décembre 2011</w:t>
      </w:r>
    </w:p>
    <w:p>
      <w:r>
        <w:t>IT: GE_GERICHTE DCSO/124/2012 del 22 dicembre 2011</w:t>
      </w:r>
    </w:p>
    <w:p>
      <w:pPr>
        <w:pStyle w:val="Heading2"/>
      </w:pPr>
      <w:r>
        <w:t>Regeste</w:t>
      </w:r>
    </w:p>
    <w:p>
      <w:r>
        <w:t>Résumé: Plainte de la créancière partiellement admise et quotité saisissable supérieure à celle retenue par l'Office des poursuites fixée.</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 procès-verbal de saisie constitue une mesure sujette à plainte et la plaignante, poursuivante, a qualité pour agir par cette voie.</w:t>
      </w:r>
    </w:p>
    <w:p>
      <w:r>
        <w:t>En l'espèce, la plainte est dirigée contre le procès-verbal de saisie du 20 janvier 2012 dressé par l'Office suite à la décision de la Chambre de céans 22 décembre 2011, annulant le procès-verbal de saisie du 19 octobre 2011 et invitant l'Office à dresser un acte conforme à sa décision du 7 septembre 2011, étant rappelé que celle-ci n'avait pas été communiquée à la plaignante (DCSO/503/2011; cf. consid. A.a et b ci-dessus). L'argument de l'intimé selon lequel la plaignante ne serait pas en droit de contester l'acte du 20 janvier 2012 tombe par conséquent à faux.</w:t>
      </w:r>
    </w:p>
    <w:p>
      <w:r>
        <w:t>Déposée en temps utile et dans les formes prescrites (art. 9 al. 1 LaLP), la plainte sera déclarée recevable.</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 (art. 17 al. 4 LP). Si la nouvelle décision laisse subsister la contestation en tout ou partie, la plainte, dont elle est le nouvel objet, devra être tranchée dans la mesure où elle reste actuelle, sans qu'il soit nécessaire de déposer une nouvelle plainte (GILLIERON, Commentaire, ad art. 17 n. 260).</w:t>
      </w:r>
    </w:p>
    <w:p>
      <w:r>
        <w:t>- 6/10 -</w:t>
      </w:r>
    </w:p>
    <w:p>
      <w:r>
        <w:t>A/242/2012-CS</w:t>
      </w:r>
    </w:p>
    <w:p>
      <w:r>
        <w:rPr>
          <w:b/>
        </w:rPr>
        <w:t>E. 2.2</w:t>
      </w:r>
    </w:p>
    <w:p>
      <w:r>
        <w:t>En l'occurrence, l'Office suite au dépôt de la plainte a, dans le délai qui lui avait été imparti pour présenter son rapport, reconsidéré sa décision, laquelle laisse toutefois subsister, en partie, la contestation (cf. consid. 3 ci-après).</w:t>
      </w:r>
    </w:p>
    <w:p>
      <w:r>
        <w:rPr>
          <w:b/>
        </w:rPr>
        <w:t>E. 3.1</w:t>
      </w:r>
    </w:p>
    <w:p>
      <w:r>
        <w:t>Sur plainte d’un créancier, l’autorité de surveillance doit se limiter à statuer sur les points faisant l'objet de celle-ci, sans faire porter sa décision sur les montants, même erronés, retenus par l’Office pour d’autres rubriques (SJ 2000 II 211). Si l'autorité de surveillance modifie la part saisissable au détriment du débiteur, respectivement, annule un procès-verbal de saisie valant acte de défaut de biens et fixe la quotité saisissable, sa décision ne peut prendre effet qu’à partir de sa notification (ATF 116 III 15 consid. 3.a.), à moins que des mesures provisionnelles anticipant ce résultat aient été ordonnées.</w:t>
      </w:r>
    </w:p>
    <w:p>
      <w:r>
        <w:rPr>
          <w:b/>
        </w:rPr>
        <w:t>E. 3.2</w:t>
      </w:r>
    </w:p>
    <w:p>
      <w:r>
        <w:t>La plaignante conteste le montant des revenus du poursuivi ainsi que la prise en compte, dans le calcul du minimum vital, de la prime d'assurance complémentaire et de la moitié des intérêts hypothécaires d'un bien immobilier dont le précité est copropriétaire avec son ex-épouse et que cette dernière occupe.</w:t>
      </w:r>
    </w:p>
    <w:p>
      <w:r>
        <w:rPr>
          <w:b/>
        </w:rPr>
        <w:t>E. 3.2.1</w:t>
      </w:r>
    </w:p>
    <w:p>
      <w:r>
        <w:t>Dans sa nouvelle décision, l'Office, à juste titre, n'a plus tenu compte de la prime d'assurance complémentaire (la prime LAMal 2012 a toutefois augmenté et s'élève à 444 fr. 40), ni de la moitié des intérêts hypothécaires.</w:t>
      </w:r>
    </w:p>
    <w:p>
      <w:r>
        <w:t>Il est, en effet, de jurisprudence constante que les primes d'assurance maladie non obligatoires et les dettes que rembourse chaque mois le poursuivi quand bien même il aurait pris des engagements dans ce sens ne font pas partie du minimum vital au sens de l'art. 93 LP (ATF 102 III 17; ATF 96 III 6, JdT 1966 49; ATF 134 III 323 consid. 3, JdT 2008 II 128).</w:t>
      </w:r>
    </w:p>
    <w:p>
      <w:r>
        <w:rPr>
          <w:b/>
        </w:rPr>
        <w:t>E. 3.2.2</w:t>
      </w:r>
    </w:p>
    <w:p>
      <w:r>
        <w:t>L'Office a, en revanche, retenu des frais d'écolage pour X______ à hauteur de 1'350 fr., alors que la somme prise en considération à ce titre dans la décision querellée était de 1'242 fr., ainsi que des frais de transport à hauteur de 45 fr.</w:t>
      </w:r>
    </w:p>
    <w:p>
      <w:r>
        <w:t>Il se justifie donc d'examiner si ces montants sont justifiés.</w:t>
      </w:r>
    </w:p>
    <w:p>
      <w:r>
        <w:rPr>
          <w:b/>
        </w:rPr>
        <w:t>E. 3.2.3</w:t>
      </w:r>
    </w:p>
    <w:p>
      <w:r>
        <w:t>Seules les charges effectivement payées doivent être prises en compte dans le calcul du minimum vital du débiteur (ATF 121 III 20, JdT 1997 II 163 et les réf. citées ; ATF 120 III 16, JdT 1996 II 179).</w:t>
      </w:r>
    </w:p>
    <w:p>
      <w:r>
        <w:t>Par ailleurs, si l'autorité de surveillance doit établir d’office les circonstances de fait déterminantes (art. 20a al. 2 ch. 2 LP), les parties ne sont pas pour autant libérées de leur devoir de collaborer à l’établissement des faits, en particulier lorsqu’il s’agit de faits que la partie est la mieux à même de connaître ou qui ont trait à sa situation personnelle. L’obligation pour l'autorité de surveillance d’élucider d’office les faits pertinents n’exclut pas, en effet, l’application, par analogie, dans la procédure de plainte, du devoir tiré de l’art. 8 CC de prouver les</w:t>
      </w:r>
    </w:p>
    <w:p>
      <w:r>
        <w:t>- 7/10 -</w:t>
      </w:r>
    </w:p>
    <w:p>
      <w:r>
        <w:t>A/242/2012-CS faits allégués. Dans une jurisprudence constante, le Tribunal fédéral a précisé que la règle de l'art. 8 CC s'applique également lorsque la preuve porte sur des faits négatifs, cette exigence étant toutefois tempérée par les règles de la bonne foi qui obligent le défendeur à coopérer à la procédure probatoire, notamment en offrant la preuve du contraire (Pauline ERARD, in CR-LP, ad art. 20a n° 14; JdT 1991 II 190-191; ATF 119 II 305-306, JdT 1904 I 217-218, rés. in JdT 1995 II 125-126).</w:t>
      </w:r>
    </w:p>
    <w:p>
      <w:r>
        <w:t>En l'occurrence, les pièces produites par le poursuivi à l'Office (cf. consid. B.b) ne justifient pas le paiement de la somme de 1'350 fr. par mois. Au surplus, l'intimé a déclaré, lors de son audition par le Tribunal de première instance le 13 janvier 2012, que l'écolage de sa fille s'élevait à 15'000 fr. par année, soit 1'250 fr. par mois (cf. consid. B. a in fine), et a allégué, dans ses observations, que ces frais étaient de 1'241 fr.</w:t>
      </w:r>
    </w:p>
    <w:p>
      <w:r>
        <w:t>Le montant de 1'241 fr. 60, non contesté par la plaignante, sera en conséquence maintenu.</w:t>
      </w:r>
    </w:p>
    <w:p>
      <w:r>
        <w:t>S'agissant des frais de transport, il se justifie de les inclure dans le minimum vital, à hauteur du coût d'un abonnement TPG (45 fr.), l'intimé poursuivant une activité lucrative (ch. II.4 let. d des Normes d’insaisissabilité édictées par l’Autorité de surveillance pour le canton de Genève (RS/GE E 3 60.04).</w:t>
      </w:r>
    </w:p>
    <w:p>
      <w:r>
        <w:t>3.3.4 Le minimum vital du poursuivi sera en conséquence fixé à 5'080 fr. (montant de base mensuel : 1'200 fr.; loyer : 1'649 fr.; assurance maladie de base : 444 fr. 40; frais médicaux : 500 fr.; frais de transport : 45 fr.; frais d'écolage pour X______: 1'241 fr. 60).</w:t>
      </w:r>
    </w:p>
    <w:p>
      <w:r>
        <w:rPr>
          <w:b/>
        </w:rPr>
        <w:t>E. 4.1</w:t>
      </w:r>
    </w:p>
    <w:p>
      <w:r>
        <w:t>Le poursuivi perçoit une rente AVS de 2'320 fr. et une rente de sa caisse de pension (CIA) de 4'258 fr. 15. Pour sa fille X______, née le xx 1988, qui vit auprès de sa mère, les rentes pour enfant de l'AVS (928 fr.) et de la CIA (1'135 fr. 65) sont versées en ses mains.</w:t>
      </w:r>
    </w:p>
    <w:p>
      <w:r>
        <w:rPr>
          <w:b/>
        </w:rPr>
        <w:t>E. 4.1.2</w:t>
      </w:r>
    </w:p>
    <w:p>
      <w:r>
        <w:t>Les rentes en faveur des enfants doivent être exclusivement affectées aux besoins de ceux-ci (art. 276 CC ss, en particulier art. 276 al. 2 et 285 CC).</w:t>
      </w:r>
    </w:p>
    <w:p>
      <w:r>
        <w:t>En l'occurrence, la rente de l'AVS ne doit pas être ajoutée au revenu du poursuivi. En revanche, dans la mesure où la rente de la CIA sert à payer l'écolage de X______ et que ce poste a été compté dans le calcul du minimum vital, il se justifie de l'ajouter audit revenu.</w:t>
      </w:r>
    </w:p>
    <w:p>
      <w:r>
        <w:rPr>
          <w:b/>
        </w:rPr>
        <w:t>E. 4.2</w:t>
      </w:r>
    </w:p>
    <w:p>
      <w:r>
        <w:t>Le poursuivi perçoit un revenu de S______ SA dont il est administrateur. Selon ses propres déclarations devant le Tribunal de première instance, le 13 janvier 2012, ce revenu s'élève à 1'500 fr. par mois (cf. consid. B. a in fine). Dans la présente cause, le poursuivi a toutefois produit une attestation de cette société, datée du 15 février 2012, selon laquelle son salaire serait, à compter du</w:t>
      </w:r>
    </w:p>
    <w:p>
      <w:r>
        <w:t>- 8/10 -</w:t>
      </w:r>
    </w:p>
    <w:p>
      <w:r>
        <w:t>A/242/2012-CS 1er janvier 2012, de 3'500 fr. par an. Cette pièce, qui aurait été établie par les actionnaires de la société, n'est cependant pas signée par ces derniers. Au surplus, l'intimé ne produit aucun justificatif attestant du versement, en janvier 2012, de la somme de 300 fr. La Chambre de céans retient en conséquence que le revenu du poursuivi est celui qu'il a déclaré lors de l'audience précitée.</w:t>
      </w:r>
    </w:p>
    <w:p>
      <w:r>
        <w:rPr>
          <w:b/>
        </w:rPr>
        <w:t>E. 4.3</w:t>
      </w:r>
    </w:p>
    <w:p>
      <w:r>
        <w:t>Les revenus du poursuivi s'élèvent en conséquence à 9'213 fr. 80 (2'320 fr. + 4'258 fr. 15. + 1'135 fr. 65 + 1'500 fr.).</w:t>
      </w:r>
    </w:p>
    <w:p>
      <w:r>
        <w:rPr>
          <w:b/>
        </w:rPr>
        <w:t>E. 5.1</w:t>
      </w:r>
    </w:p>
    <w:p>
      <w:r>
        <w:t>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 (ATF non publié 7B.253/2003 du 23 décembre 2003 consid. 3.1; ATF 7B.234/2003 du 17 novembre 2003 consid. 3; ATF 128 III 467 consid. 2.3 (non publié aux ATF), JdT 2003 II 29; ATF 121 III 285 consid. 1b et 3, JdT 1998 II 15; ATF 120 III 71 consid. 2 et 3, JdT 1997 II 18; Michel OCHSNER, in CR-LP, ad art. 93 n° 51).</w:t>
      </w:r>
    </w:p>
    <w:p>
      <w:r>
        <w:t>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L'art. 20 al. 1 LAVS prescrit que le droit aux rentes est soustrait à toute exécution forcée.</w:t>
      </w:r>
    </w:p>
    <w:p>
      <w:r>
        <w:t>Il est de jurisprudence constante que lorsqu'un débiteur bénéficie d'une rente insaisissable au sens de l'art. 92 al. 1 ch. 9a LP et d'une rente relativement saisissable, la première entre néanmoins en ligne de compte dans le calcul du minimum vital et doit être ajoutée au revenu relativement saisissable. Le débiteur peut en effet subvenir à une partie de son entretien au moyen de la rente insaisissable et n'a plus besoin, le cas échéant, de toute la rente relativement insaisissable. L'insaisissabilité de la rente au sens de l'art. 92 al. 1 ch. 9a LP a donc seulement pour effet que cette rente ne peut être elle-même saisie; elle ne permet pas au débiteur d'exiger, en plus de cette dernière, une part de la rente relativement insaisissable qui correspond à son minimum vital (ATF du 18 décembre 2007 5A_631/2007 consid. 5.; ATF du 14 mai 2007 5A_14/2007 consid. 3.1).</w:t>
      </w:r>
    </w:p>
    <w:p>
      <w:r>
        <w:t>- 9/10 -</w:t>
      </w:r>
    </w:p>
    <w:p>
      <w:r>
        <w:t>A/242/2012-CS</w:t>
      </w:r>
    </w:p>
    <w:p>
      <w:r>
        <w:rPr>
          <w:b/>
        </w:rPr>
        <w:t>E. 5.2</w:t>
      </w:r>
    </w:p>
    <w:p>
      <w:r>
        <w:t>En l'espèce, le calcul de la quotité saisissable se détermine donc comme suit :</w:t>
      </w:r>
    </w:p>
    <w:p>
      <w:r>
        <w:t>- 5'080 fr. (minimum vital) - 2'320 fr. (revenu insaisissable) = 2'760 fr.;</w:t>
      </w:r>
    </w:p>
    <w:p>
      <w:r>
        <w:t>- 6'893 fr. 80 (revenus saisissables : 4'258 fr. 15. + 1'135 fr. 65 + 1'500 fr.) - 2'760 fr. = 4'133 fr. 80, arrondis à 4'130 fr.</w:t>
      </w:r>
    </w:p>
    <w:p>
      <w:r>
        <w:rPr>
          <w:b/>
        </w:rPr>
        <w:t>E. 6</w:t>
      </w:r>
    </w:p>
    <w:p>
      <w:r>
        <w:t>La plainte sera en conséquence partiellement admise.</w:t>
      </w:r>
    </w:p>
    <w:p>
      <w:r>
        <w:rPr>
          <w:b/>
        </w:rPr>
        <w:t>E. 7</w:t>
      </w:r>
    </w:p>
    <w:p>
      <w:r>
        <w:t>Conformément aux art. 20a al. 2 ch. 5 LP, 61 al. 2 let. a et 62 al. 2 OELP, il n'y a pas lieu de percevoir d'émolument de justice, ni d'allouer des dépens.</w:t>
      </w:r>
    </w:p>
    <w:p>
      <w:r>
        <w:t>* * * * *</w:t>
      </w:r>
    </w:p>
    <w:p>
      <w:r>
        <w:t>- 10/10 -</w:t>
      </w:r>
    </w:p>
    <w:p>
      <w:r>
        <w:t>A/242/2012-CS PAR CES MOTIFS, La Chambre de surveillance : A la forme : Déclare recevable la plainte formée le 27 janvier 2012 par Mme D______ contre le procès-verbal de saisie, série n° 10 xxxx75 V. Au fond : L'admet partiellement. Fixe la saisie de gains en mains de M. G______ à 4'130 fr. par mois. Déboute les parties de toutes autres conclusions. Siégeant : Madame Ariane WEYENETH, présidente; Monsieur Antoine HAMDAN et Monsieur Claude MARCET,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