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DCSO/11/2020 vom 9. Januar 2020</w:t>
      </w:r>
    </w:p>
    <w:p>
      <w:r>
        <w:t>GE Cour de justice, 2020-01-09, FR</w:t>
      </w:r>
    </w:p>
    <w:p>
      <w:r>
        <w:rPr>
          <w:b/>
        </w:rPr>
        <w:t xml:space="preserve">Quelle: </w:t>
      </w:r>
      <w:r>
        <w:t>https://mcp.opencaselaw.ch/entscheid/ge_gerichte_DCSO_11_2020</w:t>
      </w:r>
    </w:p>
    <w:p>
      <w:r>
        <w:t>FR: GE_GERICHTE DCSO/11/2020 du 9 janvier 2020</w:t>
      </w:r>
    </w:p>
    <w:p>
      <w:r>
        <w:t>IT: GE_GERICHTE DCSO/11/2020 del 9 gennaio 2020</w:t>
      </w:r>
    </w:p>
    <w:p>
      <w:pPr>
        <w:pStyle w:val="Heading2"/>
      </w:pPr>
      <w:r>
        <w:t>Regeste</w:t>
      </w:r>
    </w:p>
    <w:p>
      <w:r>
        <w:t>Résumé: Recours au TF interjeté le 20.01.2020 par la créancière (5A_47/2020)</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attaquées par cette voie (art. 17 al. 1 LP), soit des actes de défaut de bien après saisie, et par une partie lésée dans ses intérêts (ATF 138 III 219 consid. 2.3; 129 III 595 consid. 3; 120 III 42 consid. 3), la plainte est recevable.</w:t>
      </w:r>
    </w:p>
    <w:p>
      <w:r>
        <w:rPr>
          <w:b/>
        </w:rPr>
        <w:t>E. 2</w:t>
      </w:r>
    </w:p>
    <w:p>
      <w:r>
        <w:t>2.1.1 Selon l'article 146 LP, lorsque le produit de la réalisation ne suffit pas à désintéresser tous les créanciers, l'office des poursuites dresse un état de collocation et un tableau de distribution. Les créanciers sont admis au rang auquel ils auraient droit en cas de faillite. L'établissement d'un état de collocation n'est ainsi pas laissé à la liberté de l'office des poursuites, qui est au contraire légalement tenu d'y recourir lorsque le produit de la réalisation est insuffisant (AMONN/GASSER, Grundriss des Schuldbetreibungs- und Konkursrechts, Berne 1997, p. 249). Sont colloquées en deuxième classe (art. 219 al. 4 let. b LP), notamment, les créances de cotisations au sens de la loi fédérale sur l’assurance-vieillesse et survivants du 20 décembre 1946 (LAVS - RS 831.10). 2.1.2 Conformément à l'article 147 LP, l'état de collocation et le tableau de distribution sont déposés au bureau de l'office des poursuites, lequel en informe les intéressés et notifie à chaque créancier un extrait concernant sa créance, cette</w:t>
      </w:r>
    </w:p>
    <w:p>
      <w:r>
        <w:t>- 4/6 -</w:t>
      </w:r>
    </w:p>
    <w:p>
      <w:r>
        <w:t>A/3190/2019-CS communication faisant partir le délai de 20 jours de l'action en contestation de l'état de collocation selon l'art. 148 LP. Le service de Haute surveillance en matière de poursuite et de faillite, rattaché à l'Office fédéral de la justice (art. 15 LP et 1er let. a de l'ordonnance relative à la haute surveillance en matière de poursuite et de faillite [OHS-LP; RS 281.11]), a établi toute une série de formulaires, en partie repris de ceux mis en place par le Tribunal fédéral lorsqu'il exerçait la haute surveillance, en vue d'une application uniforme des dispositions de la LP. La formule n° 35a a trait à l'avis de dépôt de l'état de collocation et du tableau de distribution à adresser aux créanciers participants à une même série. 2.1.3 La loi ne précise pas quelles sont les conséquences de l'omission de l'envoi aux créanciers de l'extrait prévu à l'art. 147 LP. Selon la doctrine, le créancier peut obtenir réparation de cette omission par la voie de la plainte (cf. BSK SchKG I, N. 13 ad art. 147 LP). En l'espèce, il est établi que le produit de la réalisation dans la série litigieuse n'était pas suffisant pour désintéresser totalement l'ensemble des créanciers. C'est par conséquent à tort que l'Office a omis d'aviser la plaignante du dépôt de l'état de collocation et du tableau de distribution et de lui adresser l'extrait concernant sa créance. L'Office a toutefois transmis ces informations dans le cadre de la procédure de plainte. Il en ressort que les créances de la plaignante découlant des cotisations sociales, de même que les intérêts y relatifs, ont été correctement colloquées en 2ème classe. Elles ont été entièrement couvertes par le produit de la saisie, aucun découvert n'ayant été enregistré pour les créanciers de cette classe. Seules les créances liées aux frais facturés par la plaignante (frais de sommation, amendes, etc.) ont été colloquées en troisième classe et donné lieu à des découverts. Ce procédé ne prête pas le flanc à la critique et n'est du reste pas concrètement remis en cause par la plaignante, laquelle ne soutient en particulier pas que les créances résultant des frais qu'elle a mis à la charge de la poursuivie auraient dû aussi être colloquées en 2ème classe. Pour ce qui est du solde du découvert pour les frais administratifs, il résulte du tableau de distribution qu'il se monte à 150 fr. et correspond au montant indiqué sur les actes de défaut de biens attaqués. Par conséquent, l'Office ayant réparé son omission dans le cadre de la procédure de plainte, celle-ci est devenue pour l'essentiel sans objet, étant rappelé qu'il n'y a pas lieu d'entrer en matière sur des plaintes formulées dans le seul but de faire constater qu'un organe de poursuite a, agissant ou en omettant d'agir, violé ses obligations (ATF 99 III 58).</w:t>
      </w:r>
    </w:p>
    <w:p>
      <w:r>
        <w:rPr>
          <w:b/>
        </w:rPr>
        <w:t>E. 3</w:t>
      </w:r>
    </w:p>
    <w:p>
      <w:r>
        <w:t>La plaignante conteste le calcul des intérêts effectué par l'Office. Elle considère que le cours des intérêts aurait dû cesser au moment de l'encaissement de la</w:t>
      </w:r>
    </w:p>
    <w:p>
      <w:r>
        <w:t>- 5/6 -</w:t>
      </w:r>
    </w:p>
    <w:p>
      <w:r>
        <w:t>A/3190/2019-CS dernière prestation mensuelle saisie, le 2 mai 2019, voire le 26 août 2019, au moment de la distribution.</w:t>
      </w:r>
    </w:p>
    <w:p>
      <w:r>
        <w:rPr>
          <w:b/>
        </w:rPr>
        <w:t>E. 3.1</w:t>
      </w:r>
    </w:p>
    <w:p>
      <w:r>
        <w:t>Aux termes de l'art. 144 al. 4 LP, le produit net est distribué aux créanciers jusqu'à concurrence de leurs créances, intérêts jusqu'au moment de la dernière réalisation et frais de poursuite compris. Selon la jurisprudence, en cas de saisie de salaire, lorsque l'employeur s'acquitte en mains de l'office des poursuites de la quote-part de salaire saisie, son paiement a pour conséquence, outre l'extinction de la dette du débiteur, que celui-ci est libéré de son obligation de payer les intérêts de sa dette (ATF 116 III 56, JdT 1993 II 34). Le paiement du montant de la créance à l'office vaut ainsi réalisation. Il éteint en outre la dette en vertu de l'art. 12 LP, sans qu'il y ait lieu de se préoccuper de savoir si et quand l'argent est transmis au créancier (ATF 116 III 56 consid. 2b p. 58 et les références; voir aussi ATF 127 III 182).</w:t>
      </w:r>
    </w:p>
    <w:p>
      <w:r>
        <w:rPr>
          <w:b/>
        </w:rPr>
        <w:t>E. 3.2</w:t>
      </w:r>
    </w:p>
    <w:p>
      <w:r>
        <w:t>En l'espèce, on comprend des indications fournies par l'Office que chaque encaissement de la retenue sur salaire a eu pour conséquence d'éteindre partiellement la créance déduite en poursuite, qui portait intérêt. Par conséquent, les intérêts n'ont pas couru jusqu'à l'encaissement du dernier salaire, ni jusqu'à la distribution des deniers; ils ont cessé de courir au fur et à mesure, à la suite des encaissements partiels, ce qui est conforme à la jurisprudence susmentionnée. Eu égard à ce qui précède, la plainte sera rejetée dans la mesure où elle a conservé un objet.</w:t>
      </w:r>
    </w:p>
    <w:p>
      <w:r>
        <w:rPr>
          <w:b/>
        </w:rPr>
        <w:t>E. 4</w:t>
      </w:r>
    </w:p>
    <w:p>
      <w:r>
        <w:t>La procédure de plainte est gratuite (art. 20a al. 2 ch. 5 LP et art. 61 al. 2 let. a OELP) et il ne peut être alloué aucuns dépens dans cette procédure (art. 62 al. 2 OELP). * * * * *</w:t>
      </w:r>
    </w:p>
    <w:p>
      <w:r>
        <w:t>- 6/6 -</w:t>
      </w:r>
    </w:p>
    <w:p>
      <w:r>
        <w:t>A/3190/2019-CS PAR CES MOTIFS, La Chambre de surveillance : A la forme : Déclare recevable la plainte formée le 3 septembre 2019 par la CAISSE A______ contre les actes de défaut de biens après saisie, nos 4______ [concernant la poursuite] 1______ et 4______ [concernant la poursuite] 2______, délivrés le 22 août 2019 par l'Office cantonal des poursuites. Au fond : La rejette dans la mesure où elle a conservé un objet. Siégeant : Madame Verena PEDRAZZINI RIZZI, présidente; Messieurs Georges ZUFFEREY et Mathieu HOWALD,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