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DCSO/119/2012 vom 23. Januar 2012</w:t>
      </w:r>
    </w:p>
    <w:p>
      <w:r>
        <w:t>GE Cour de justice, 2012-01-23, FR</w:t>
      </w:r>
    </w:p>
    <w:p>
      <w:r>
        <w:rPr>
          <w:b/>
        </w:rPr>
        <w:t xml:space="preserve">Quelle: </w:t>
      </w:r>
      <w:r>
        <w:t>https://mcp.opencaselaw.ch/entscheid/ge_gerichte_DCSO_119_2012</w:t>
      </w:r>
    </w:p>
    <w:p>
      <w:r>
        <w:t>FR: GE_GERICHTE DCSO/119/2012 du 23 janvier 2012</w:t>
      </w:r>
    </w:p>
    <w:p>
      <w:r>
        <w:t>IT: GE_GERICHTE DCSO/119/2012 del 23 gennaio 2012</w:t>
      </w:r>
    </w:p>
    <w:p>
      <w:pPr>
        <w:pStyle w:val="Heading2"/>
      </w:pPr>
      <w:r>
        <w:t>Regeste</w:t>
      </w:r>
    </w:p>
    <w:p>
      <w:r>
        <w:t>Résumé: L'Office a correctement appliqué la jurisprudence du TF (5A_851/2011) en modifiant un avis de séquestre de salaire à la CNUCED via la Mission permanente, après avoir obtenu officieusement les revenus et charges du poursuivi.</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Il est constant qu'une décision de non-lieu de séquestre est un acte sujet à plainte, que la créancière a qualité pour attaquer par cette voie.</w:t>
      </w:r>
    </w:p>
    <w:p>
      <w:r>
        <w:rPr>
          <w:b/>
        </w:rPr>
        <w:t>E. 1.2</w:t>
      </w:r>
    </w:p>
    <w:p>
      <w:r>
        <w:t>La plainte contre une mesure de l'Office doit être déposée dans les dix jours suivant celui où le plaignant a eu connaissance de la décision attaquée (art. 17 al. 2 LP). En l'espèce, le procès-verbal litigieux a été notifié le 11 janvier 2012. Formée le 23 janvier 2012, la plainte l'a été en temps utile. Respectant pour le surplus les exigences de forme prescrites par la loi (art. 9 LaLP), la plainte est recevable.</w:t>
      </w:r>
    </w:p>
    <w:p>
      <w:r>
        <w:t>- 5/7 -</w:t>
      </w:r>
    </w:p>
    <w:p>
      <w:r>
        <w:t>A/183/2012-CS</w:t>
      </w:r>
    </w:p>
    <w:p>
      <w:r>
        <w:rPr>
          <w:b/>
        </w:rPr>
        <w:t>E. 2</w:t>
      </w:r>
    </w:p>
    <w:p>
      <w:r>
        <w:t>Il est constant que la Conférence des Nations Unies sur le commerce et le développement (CNUCED) est un organisme de l'Organisation des Nations Unies (ONU).</w:t>
      </w:r>
    </w:p>
    <w:p>
      <w:r>
        <w:rPr>
          <w:b/>
        </w:rPr>
        <w:t>E. 2.1</w:t>
      </w:r>
    </w:p>
    <w:p>
      <w:r>
        <w:t>Selon l'Article II, section 2, de l'Accord sur les privilèges et immunités de conclu entre le Conseil fédéral suisse et le Secrétaire général de l'ONU, entré en vigueur le 1er juillet 1946 (RS 0.192.120.1), les locaux de l'Organisation sont inviolables; ses biens et avoirs en Suisse ne peuvent faire l'objet de perquisition, réquisition, confiscation, expropriation ou de toute autre forme de contrainte exécutive, administrative, judiciaire ou législative. Il n'est donc, en principe, pas possible de saisir ou séquestrer, sur les biens de l'Organisation, le traitement d'un fonctionnaire, ces biens jouissant de l'immunité d'exécution et de l'inviolabilité (cf. arrêt du Tribunal fédéral 5A_851/2011 du 31 janvier 2012, consid. 3.1.1, 3.2 et 4).</w:t>
      </w:r>
    </w:p>
    <w:p>
      <w:r>
        <w:rPr>
          <w:b/>
        </w:rPr>
        <w:t>E. 2.2</w:t>
      </w:r>
    </w:p>
    <w:p>
      <w:r>
        <w:t>A teneur de l'Article V, section 17, l'ONU s'est engagée à collaborer, en tout temps, avec les autorités suisses compétentes en vue de faciliter la bonne administration de la justice, d'assurer l'observation des règlements de police et d'éviter tout abus auquel pourraient donner lieu les privilèges, immunités et facilités énumérés dans ledit article.</w:t>
      </w:r>
    </w:p>
    <w:p>
      <w:r>
        <w:rPr>
          <w:b/>
        </w:rPr>
        <w:t>E. 2.3</w:t>
      </w:r>
    </w:p>
    <w:p>
      <w:r>
        <w:t>Dans un arrêt du 22 juin 1995 (5P.464/1994), qui concernait le séquestre du salaire d'un fonctionnaire du Bureau International du Travail (BIT), qui ne jouissait pas de l'immunité de juridiction et n'avait pas contracté la dette objet de l'exécution dans le cadre des actes accomplis dans l'exercice de ses fonctions, le Tribunal fédéral a statué sur un recours dirigé contre une ordonnance rejetant la requête de séquestre et a retenu ce qui suit (consid. 3a et 3b): "Il n'est (…) en principe pas possible de saisir ou de séquestrer, sur les biens de l'organisation, le traitement d'un fonctionnaire, ces biens jouissant de l'immunité d'exécution et de l'inviolabilité. Toutefois, (…) l'avis au tiers débiteur prévu à l'art. 99 LP (applicable au séquestre en vertu de l'art. 275 LP) n'est pas une condition essentielle à la validité de la saisie et donc du séquestre; il a surtout pour but d'éviter que le tiers débiteur ne s'acquitte en mains du débiteur poursuivi et d'empêcher qu'il ne vienne un jour opposer à l'adjudicataire l'exception tirée de l'art. 167 CO (…). Il est vrai qu'un séquestre (ou une saisie) de salaire non suivi de l'avis au tiers débiteur demeure sans effet certain. Toutefois, comme le Tribunal fédéral l'a relevé dans l'arrêt publié au ATF 74 III 4, il faut tenir compte du fait que le tiers débiteur peut avoir été informé du séquestre (ou de la saisie) autrement que par l'office (…) et il n'est pas dit qu'il ne se sente pas tenu, en pareil cas, de verser à l'office la part de la créance qui a été séquestrée (respectivement saisie). Il se peut également que le débiteur poursuivi, qui sait ou est censé savoir qu'il n'a pas le droit de disposer d'une</w:t>
      </w:r>
    </w:p>
    <w:p>
      <w:r>
        <w:t>- 6/7 -</w:t>
      </w:r>
    </w:p>
    <w:p>
      <w:r>
        <w:t>A/183/2012-CS partie de la créance, vienne de lui-même remettre à l'office la somme séquestrée. Il n'est pas douteux que l'office doit, dans l'un comme dans l'autre cas, considérer le versement comme fait en exécution du séquestre, car si le fait pour le débiteur d'encaisser la part de la créance séquestrée peut être considéré en soi comme un acte de disposition, cet acte devrait alors être réputé accompli dans l'intérêt du créancier séquestrant, autrement dit avec l'assentiment tacite de l'office (…). Rien n'empêche, dès lors un représentant de l'autorité de s'enquérir auprès de qui de droit, à titre officieux, du montant du salaire et des charges de l'employé et d'informer ensuite les organes de l'OIT de l'exécution du séquestre auprès du débiteur." Dans un arrêt du 7 juillet 2003 (5P.156/2003), le Tribunal fédéral, dans une cause dont les faits étaient similaires, a, statuant également sur un recours dirigé contre une ordonnance rejetant la requête de séquestre de la quotité saisissable des rémunérations échues et à échoir dues au débiteur par l'Organisation mondiale de la propriété intellectuelle (OMPI), appliqué les mêmes principes.</w:t>
      </w:r>
    </w:p>
    <w:p>
      <w:r>
        <w:rPr>
          <w:b/>
        </w:rPr>
        <w:t>E. 3.1</w:t>
      </w:r>
    </w:p>
    <w:p>
      <w:r>
        <w:t>Dans une affaire similaire à la présente espèce, le Tribunal fédéral a récemment eu l'occasion de préciser qu'en cas d'admission de la requête de séquestre, sa jurisprudence précitée était respectée lorsque les organes de l'ONU ont été informés du séquestre. Le Tribunal fédéral a en particulier considéré qu'en ayant obtenu les revenus et charges du poursuivi et adressé un avis de séquestre de salaire à l'ONU via la Mission permanente, l'Office avait fait ce qui était requis de sa part aux termes de la jurisprudence, nonobstant le fait que la Mission permanente lui ait retourné cet avis au motif qu'elle ne pouvait le notifier à l'ONU (arrêt du Tribunal fédéral 5A_851/2011 du 31 janvier 2012, consid. 3.3, confirmant la décision de la Chambre de céans DCSO/436/2011 du 25 novembre 2011).</w:t>
      </w:r>
    </w:p>
    <w:p>
      <w:r>
        <w:rPr>
          <w:b/>
        </w:rPr>
        <w:t>E. 3.2</w:t>
      </w:r>
    </w:p>
    <w:p>
      <w:r>
        <w:t>Au vu des faits retenus ci-dessus et des pièces versées à la procédure, force est en l'espèce de constater que l'Office a agi conformément à la jurisprudence du Tribunal fédéral, telle que récemment précisée. Il a en effet obtenu les renseignements propres à déterminer les revenus et charges du poursuivi et, sur cette base, établi et adressé un avis de séquestre de salaire à la CNUCED via la Mission permanente (cf. pièces 7 à 11 Office). Il suit de là que la plainte ne peut qu'être rejetée.</w:t>
      </w:r>
    </w:p>
    <w:p>
      <w:r>
        <w:rPr>
          <w:b/>
        </w:rPr>
        <w:t>E. 4</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- 7/7 -</w:t>
      </w:r>
    </w:p>
    <w:p>
      <w:r>
        <w:t>A/183/2012-CS PAR CES MOTIFS, La Chambre de surveillance : A la forme : Déclare recevable la plainte formée le 23 janvier 2012 par Mme B______ contre le procès-verbal de non-lieu de séquestre expédié le 10 janvier 2012 dans le cadre du séquestre n° 11 xxx88 T. Au fond : La rejette. Siégeant : Monsieur Grégory BOVEY, président; Madame Natalie OPPATJA et Monsieur Christian CHAVAZ,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