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DCSO/113/2016 vom 14. April 2016</w:t>
      </w:r>
    </w:p>
    <w:p>
      <w:r>
        <w:t>GE Cour de justice, 2016-04-14, FR</w:t>
      </w:r>
    </w:p>
    <w:p>
      <w:r>
        <w:rPr>
          <w:b/>
        </w:rPr>
        <w:t xml:space="preserve">Quelle: </w:t>
      </w:r>
      <w:r>
        <w:t>https://mcp.opencaselaw.ch/entscheid/ge_gerichte_DCSO_113_2016</w:t>
      </w:r>
    </w:p>
    <w:p>
      <w:r>
        <w:t>FR: GE_GERICHTE DCSO/113/2016 du 14 avril 2016</w:t>
      </w:r>
    </w:p>
    <w:p>
      <w:r>
        <w:t>IT: GE_GERICHTE DCSO/113/2016 del 14 aprile 2016</w:t>
      </w:r>
    </w:p>
    <w:p>
      <w:pPr>
        <w:pStyle w:val="Heading2"/>
      </w:pPr>
      <w:r>
        <w:t>Erwägungen</w:t>
      </w:r>
    </w:p>
    <w:p>
      <w:r>
        <w:rPr>
          <w:b/>
        </w:rPr>
        <w:t>E. 1.1</w:t>
      </w:r>
    </w:p>
    <w:p>
      <w:r>
        <w:t>Selon l'art. 33 al. 4 LP, quiconque a été empêché sans sa faute d'agir dans l'un des délais fixés par la LP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omis.</w:t>
      </w:r>
    </w:p>
    <w:p>
      <w:r>
        <w:t>La requête de restitution de délai doit respecter la forme écrite, comporter une motivation – laquelle doit notamment porter sur l'impossibilité non fautive d'agir alléguée par le requérant – et être accompagnée des moyens de preuve nécessaires (Francis NORDMANN, in BaK SchKG I, 2ème édition, 2010, Staehelin/Bauer/Staehelin [éd.], n° 14 ad art. 33 LP; Marc RUSSENBERGER/Karin MINET, in KuKo SchKG, 2ème édition, 2014, Hunkeler [éd.], n° 27 ad art. 33 LP).</w:t>
      </w:r>
    </w:p>
    <w:p>
      <w:r>
        <w:t>Le délai pour requérir la restitution du délai omis – et pour accomplir l'acte – se calcule à compter du jour suivant la cessation de l'impossibilité non fautive d'agir</w:t>
      </w:r>
    </w:p>
    <w:p>
      <w:r>
        <w:t>- 6/8 -</w:t>
      </w:r>
    </w:p>
    <w:p>
      <w:r>
        <w:t>A/7/2016-CS (NORDMANN, op. cit., n° 14 ad art. 33 LP; Pauline ERARD, CR LP, 2005, Dallèves/Foëx/Jeandin [éd.], n° 28 ad art. 33 LP).</w:t>
      </w:r>
    </w:p>
    <w:p>
      <w:r>
        <w:rPr>
          <w:b/>
        </w:rPr>
        <w:t>E. 1.2</w:t>
      </w:r>
    </w:p>
    <w:p>
      <w:r>
        <w:t>En l'espèce, les délais dont la restitution est requise sont des délais pour former opposition à un commandement de payer. Selon l'art. 74 al. 1 LP, ce délai est de dix jours. C'est donc également dans un délai de dix jours à compter de la disparition de l'empêchement allégué que le requérant devait, d'une part, former oppositions et, d'autre part, solliciter la restitution du délai pour ce faire.</w:t>
      </w:r>
    </w:p>
    <w:p>
      <w:r>
        <w:t>L'impossibilité d'agir alléguée consiste en un empêchement de l'intéressé, résultant d'une déficience mentale, de troubles psychiques ou d'un autre état de faiblesse affectant sa condition personnelle, de faire valoir ses droits dans les procédures de poursuite introduites à son encontre, et en particulier de former opposition aux commandements de payer qui lui ont été notifiés. A supposer que cette impossibilité doive effectivement être retenue, sa cause a en tous les cas pris fin avec la désignation au débiteur poursuivi, par le TPAE, d'un représentant disposant des pouvoirs pour former opposition en son nom.</w:t>
      </w:r>
    </w:p>
    <w:p>
      <w:r>
        <w:t>Le curateur a reçu l'ordonnance du TPAE le désignant à cette fonction le</w:t>
      </w:r>
    </w:p>
    <w:p>
      <w:r>
        <w:rPr>
          <w:b/>
        </w:rPr>
        <w:t>E. 4</w:t>
      </w:r>
    </w:p>
    <w:p>
      <w:r>
        <w:t>janvier 2016 dans les poursuites nos 14 xxxx86, 14 xxxx42, 14 xxxx96, 14 xxxx31, 15 xxxx93, 15 xxxx20, 15 xxxx46, 15 xxxx47, 15 xxxx22, 15 xxxx31 et 15 xxxx77.</w:t>
      </w:r>
    </w:p>
    <w:p>
      <w:r>
        <w:t>Siégeant : Monsieur Patrick CHENAUX, président; Madame Marilyn NAHMANI et Monsieur Denis KELLER,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