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DCSO/10/2025 vom 16. Januar 2025</w:t>
      </w:r>
    </w:p>
    <w:p>
      <w:r>
        <w:t>GE Cour de justice, 2025-01-16, FR</w:t>
      </w:r>
    </w:p>
    <w:p>
      <w:r>
        <w:rPr>
          <w:b/>
        </w:rPr>
        <w:t xml:space="preserve">Quelle: </w:t>
      </w:r>
      <w:r>
        <w:t>https://mcp.opencaselaw.ch/entscheid/ge_gerichte_DCSO_10_2025</w:t>
      </w:r>
    </w:p>
    <w:p>
      <w:r>
        <w:t>FR: GE_GERICHTE DCSO/10/2025 du 16 janvier 2025</w:t>
      </w:r>
    </w:p>
    <w:p>
      <w:r>
        <w:t>IT: GE_GERICHTE DCSO/10/2025 del 16 gennaio 2025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Lorsque la plainte est dirigée contre la saisie, le délai de dix jours prévu par l'art. 17 al. 2 LP commence à courir avec la communication du procès-verbal de saisie (ATF 107 III 7 consid. 2), avec pour conséquence qu'il ne pourrait être entré</w:t>
      </w:r>
    </w:p>
    <w:p>
      <w:r>
        <w:t>- 4/6 -</w:t>
      </w:r>
    </w:p>
    <w:p>
      <w:r>
        <w:t>A/3148/2024-CS en matière sur une plainte déposée avant cette communication (en ce sens : JENT- SORENSEN, in BSK SchKG I, 3ème édition, 2021, N 19 ad art. 112 LP; ZONDLER, in Kommentar SchKG, 2017, Kren Kostkiewicz/Vock [éd.], N 4 ad art. 114 LP).</w:t>
      </w:r>
    </w:p>
    <w:p>
      <w:r>
        <w:rPr>
          <w:b/>
        </w:rPr>
        <w:t>E. 1.2</w:t>
      </w:r>
    </w:p>
    <w:p>
      <w:r>
        <w:t>En l'espèce, la plainte émane d'une personne atteinte ou exposée à l'être dans ses intérêts juridiquement protégés par la mesure attaquée, susceptible d'être contestée par cette voie, et respecte les exigences formelles prévues par la loi. Elle paraît toutefois prématurée dans la mesure où elle a été formée avant la communication du procès-verbal de saisie, lequel fait courir le délai de dix jours prévu par l'art. 17 al. 2 LP pour contester une telle mesure.</w:t>
      </w:r>
    </w:p>
    <w:p>
      <w:r>
        <w:t>Dans la mesure toutefois où le plaignant se prévaut d'une atteinte à son minimum vital, dont la violation pourrait, selon les circonstances, entraîner la nullité au sens de l'art. 22 al. 1 LP de la mesure contestée (arrêt du Tribunal fédéral 7B_30/2005 du 18 avril 2005 consid. 3.2; KREN KOSTKIEWICZ, in KUKO SchKG, n° 95 ad art. 92 LP), il y a lieu d'entrer en matière sur sa plainte.</w:t>
      </w:r>
    </w:p>
    <w:p>
      <w:r>
        <w:rPr>
          <w:b/>
        </w:rPr>
        <w:t>E. 2</w:t>
      </w:r>
    </w:p>
    <w:p>
      <w:r>
        <w:t>Le plaignant conclut à ce que la saisie opérée sur sa rente de prévoyance soit diminuée à 500 fr. par mois en raison de sa situation financière difficile.</w:t>
      </w:r>
    </w:p>
    <w:p>
      <w:r>
        <w:t>2.1.1 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NI-2024, RS/GE E 3 60.04).</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y compris leur entretien, les soins corporels et de santé, l'entretien du logement, les assurances privées, les frais culturels et les dépenses pour l'éclairage, le courant électrique ou le gaz pour cuisiner (art. I NI-2024). D'autres charges indispensables, comme les frais de logement y compris les frais de chauffage et charges accessoires (art. II.1 et II.3 NI-2018), les dépenses indispensables à l'exercice d'une profession (art. II.4 NI- 2018) ou encore les primes d'assurance-maladie obligatoire (art. II.3 NI-2018) doivent être ajoutées à cette base mensuelle d'entretien, pour autant qu'elles soient</w:t>
      </w:r>
    </w:p>
    <w:p>
      <w:r>
        <w:t>- 5/6 -</w:t>
      </w:r>
    </w:p>
    <w:p>
      <w:r>
        <w:t>A/3148/2024-CS effectivement et régulièrement payées (OCHSNER, in CR-LP, n. 82 et n° 83 ad art. 93 LP).</w:t>
      </w:r>
    </w:p>
    <w:p>
      <w:r>
        <w:t>2.1.2 Selon l'art. 92 al. 1 ch. 9a LP, les rentes versées au titre de l'Assurance vieillesse et survivants sont insaisissables. L'art. 93 al. 1 LP prévoit en revanche que les rentes versées par des institutions de prévoyance professionnelle peuvent être saisies, déduction faite de ce que l'Office estime indispensable au débiteur et à sa famille (minimum vital) (ATF 120 III 71 consid. 4).</w:t>
      </w:r>
    </w:p>
    <w:p>
      <w:r>
        <w:t>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w:t>
      </w:r>
    </w:p>
    <w:p>
      <w:r>
        <w:rPr>
          <w:b/>
        </w:rPr>
        <w:t>E. 2.2</w:t>
      </w:r>
    </w:p>
    <w:p>
      <w:r>
        <w:t>En l'espèce, la saisie contestée porte sur la rente du deuxième pilier versée au poursuivi, qui est relativement saisissable au sens de l'art. 93 al. 1 LP.</w:t>
      </w:r>
    </w:p>
    <w:p>
      <w:r>
        <w:t>Il ressort de la réponse de la Caisse de compensation D______ du 6 août 2024 et des décomptes bancaires du plaignant qu'il perçoit mensuellement une rente AVS à hauteur de 1'781 fr. une rente de 2ème pilier de la Caisse de compensation C______ de 1'212 fr. 65 et des prestations de SPC de 44 fr.</w:t>
      </w:r>
    </w:p>
    <w:p>
      <w:r>
        <w:t>S'agissant de ses charges, l'Office a, à juste titre, retenu que le minimum vital du plaignant s'élevait à 2'100 fr., correspondant au montant de base de 1'200 fr., à ses frais de transport de 45 fr. et à son loyer de 855 fr. Il ne résulte en particulier pas du dossier que l'Office aurait dû tenir compte d'autres charges, dès lors que les frais SIG ou de téléphone sont inclus dans le montant de base et que le plaignant n'a pas justifié de frais médicaux qui n'auraient pas été pris en charge par son assureur maladie.</w:t>
      </w:r>
    </w:p>
    <w:p>
      <w:r>
        <w:t>Enfin, tenant compte, à raison, de ce que le minimum vital du plaignant de 2'100 fr. n'était pas couvert par la rente AVS du plaignant, qui était insaisissable au sens de l'art. 92 al. 1 ch. 9a LP, l'Office a procédé à la saisie de sa rente 2ème pilier, saisissable au sens de l'art. 93 al. 1 LP, à concurrence de 937 fr. 65 (1'212 fr. 65 – 275 fr.).</w:t>
      </w:r>
    </w:p>
    <w:p>
      <w:r>
        <w:t>Il s'avère ainsi que la décision de l'Office fixant la quotité disponible du plaignant à 937 fr. 65 par mois ne porte pas atteinte au minimum vital de ce dernier.</w:t>
      </w:r>
    </w:p>
    <w:p>
      <w:r>
        <w:t>La plainte sera en conséquence rejetée.</w:t>
      </w:r>
    </w:p>
    <w:p>
      <w:r>
        <w:rPr>
          <w:b/>
        </w:rPr>
        <w:t>E. 3</w:t>
      </w:r>
    </w:p>
    <w:p>
      <w:r>
        <w:t>La procédure de plainte est gratuite (art. 20a al. 2 ch. 5 LP; art. 61 al. 2 let. a OELP) et ne donne pas lieu à l'allocation de dépens (art. 62 al. 2 OELP). * * * * *</w:t>
      </w:r>
    </w:p>
    <w:p>
      <w:r>
        <w:t>- 6/6 -</w:t>
      </w:r>
    </w:p>
    <w:p>
      <w:r>
        <w:t>A/3148/2024-CS PAR CES MOTIFS, La Chambre de surveillance :</w:t>
      </w:r>
    </w:p>
    <w:p>
      <w:r>
        <w:t>A la forme : Déclare recevable la plainte formée le 25 septembre 2024 par A______ contre la saisie opérée le 20 août 2024 sur la rente versée par la Caisse de prévoyance C______. Au fond : La rejette. Siégeant : Madame Ursula ZEHETBAUER GHAVAMI, présidente; Messieurs Alexandre BÖHLER et Denis KELLER,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