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DCSO/10/2023 vom 6. Januar 2017</w:t>
      </w:r>
    </w:p>
    <w:p>
      <w:r>
        <w:t>GE Cour de justice, 2017-01-06, FR</w:t>
      </w:r>
    </w:p>
    <w:p>
      <w:r>
        <w:rPr>
          <w:b/>
        </w:rPr>
        <w:t xml:space="preserve">Quelle: </w:t>
      </w:r>
      <w:r>
        <w:t>https://mcp.opencaselaw.ch/entscheid/ge_gerichte_DCSO_10_2023</w:t>
      </w:r>
    </w:p>
    <w:p>
      <w:r>
        <w:t>FR: GE_GERICHTE DCSO/10/2023 du 6 janvier 2017</w:t>
      </w:r>
    </w:p>
    <w:p>
      <w:r>
        <w:t>IT: GE_GERICHTE DCSO/10/2023 del 6 gennaio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une partie lésée dans ses intérêts (ATF 138 III 219 consid. 2.3; 129 III 595 consid. 3; 120 III 42 consid. 3), la plainte est recevable, contrairement à ce que fait valoir l'Office.</w:t>
      </w:r>
    </w:p>
    <w:p>
      <w:r>
        <w:t>D'une part, dans la mesure où la présente procédure de plainte concerne un procès-verbal de séquestre émis au préjudice de la plaignante – au contraire de la procédure A/8______/2022 qui concernait le mari de la plaignante, chacun des époux faisant l'objet d'une procédure d'exécution forcée distincte – l'intéressée dispose en soi d'un intérêt propre à former plainte contre cette mesure de l'Office.</w:t>
      </w:r>
    </w:p>
    <w:p>
      <w:r>
        <w:t>D'autre part, la question de savoir si le conseil de la plaignante pouvait avoir connaissance, avant le mois de septembre 2022, de l'existence d'un éventuel séquestre prononcé à l'encontre de sa cliente n'est pas déterminante, puisque c'est la communication effective du procès-verbal de séquestre à la débitrice qui fait courir le délai de plainte de l'art. 17 al. 2 LP contre l'exécution du séquestre (cf. DCSO/418/2021 du 21 octobre 2021 consid. 1.2; DCSO/277/2009 du 25 juin 2009 consid. 2b; KREN KOSTKIEWICZ, in Kommentar zum SchKG, 4ème édition 2017, KREN KOSTKIEWICZ/VOCK [éd.], n. 8 ad art. 276 LP). Or, aucun élément concret du dossier ne permet d'établir que la plaignante se serait vu notifier le procès-verbal de séquestre litigieux avant qu'il n'ait été communiqué à son conseil en date du 7 septembre 2022. En particulier, il n'est pas démontré que l'acte litigieux aurait été notifié à la plaignante le 25 juin 2019 (date où il a été établi) ou à une date ultérieure, notamment courant 2019. La plainte déposée le 19 septembre 2022 n'est dès lors pas tardive.</w:t>
      </w:r>
    </w:p>
    <w:p>
      <w:r>
        <w:rPr>
          <w:b/>
        </w:rPr>
        <w:t>E. 2</w:t>
      </w:r>
    </w:p>
    <w:p>
      <w:r>
        <w:t>La plaignante reproche à l'Office d'avoir établi le procès-verbal de séquestre sans procéder – même a posteriori – à une quelconque estimation des bijoux et montres séquestrés, au besoin en recourant à un expert, et d'avoir séquestré beaucoup plus que nécessaire, au regard de l'assiette du séquestre et de la valeur de ces biens.</w:t>
      </w:r>
    </w:p>
    <w:p>
      <w:r>
        <w:t>2.1.1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w:t>
      </w:r>
    </w:p>
    <w:p>
      <w:r>
        <w:t>- 7/10 -</w:t>
      </w:r>
    </w:p>
    <w:p>
      <w:r>
        <w:t>A/3041/2022-CS</w:t>
      </w:r>
    </w:p>
    <w:p>
      <w:r>
        <w:t>Selon le texte légal, le montant de l'assiette du séquestre comporte trois éléments, à savoir le capital de la créance pour laquelle le séquestre a été ordonné, les intérêts sur cette créance et les frais de poursuite, qui comprennent les frais judiciaires de l'ordonnance de séquestre, ceux d'exécution du séquestre, les frais de poursuite futurs (y compris les frais liés à une procédure sommaire de mainlevée; OCHSNER, Exécution du séquestre, in JT 2006 II 77, p. 111).</w:t>
      </w:r>
    </w:p>
    <w:p>
      <w:r>
        <w:t>2.1.2 Le procès-verbal de séquestre, que l'Office doit dresser, contient la désignation des biens séquestrés et de leur valeur (art. 276 LP). L'estimation de la valeur des biens et son indication dans le procès- verbal de séquestre (cf. art. 276 al. 1 LP) est une condition de validité de l'exécution du séquestre (ATF 113 III 104 consid. 4). Le fonctionnaire procède à cette estimation, au besoin en s'adjoignant des experts (art. 97 al. 1 LP applicable par analogie en vertu du renvoi de l'art. 275 LP).</w:t>
      </w:r>
    </w:p>
    <w:p>
      <w:r>
        <w:t>Le procès-verbal de séquestre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p. 116).</w:t>
      </w:r>
    </w:p>
    <w:p>
      <w:r>
        <w:t>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w:t>
      </w:r>
    </w:p>
    <w:p>
      <w:r>
        <w:rPr>
          <w:b/>
        </w:rPr>
        <w:t>E. 2.2</w:t>
      </w:r>
    </w:p>
    <w:p>
      <w:r>
        <w:t>Selon les termes de l'art. 44 LP, la réalisation d'objets confisqués en vertu des lois fédérales ou cantonales en matière pénale ou fiscale s'opère en conformité avec ces lois.</w:t>
      </w:r>
    </w:p>
    <w:p>
      <w:r>
        <w:t>La jurisprudence applique cette disposition au séquestre pénal, lorsque celui-ci a pour but de garantir la confiscation, la restitution au lésé, le paiement des frais de procédure, le paiement des peines pécuniaires, le paiement des amendes ou le paiement des indemnités (art. 265 CPP). Un séquestre pénal ordonné dans l’un ou l’autre de ces buts "prime" le séquestre LP "en cas de conflit" (cf. PAHUD, Le séquestre et la protection provisoire des créances pécuniaires, AISUF - Travaux de la Faculté de Droit de l'Université de Fribourg, note de bas de page n° 786 et les références). Il en découle que tant que le séquestre pénal n’a pas été levé, le créancier ne saurait obtenir la réalisation des biens qui font également l’objet du séquestre LP. Le séquestre peut être converti en saisie mais le créancier</w:t>
      </w:r>
    </w:p>
    <w:p>
      <w:r>
        <w:t>- 8/10 -</w:t>
      </w:r>
    </w:p>
    <w:p>
      <w:r>
        <w:t>A/3041/2022-CS ne saurait requérir la réalisation. Lorsqu’une décision de l’autorité pénale entre en force et que les droits patrimoniaux sont confisqués, restitués au lésé ou utilisés pour payer les frais, peines pécuniaires, amendes ou indemnités, le séquestre LP ou la saisie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(PAHUD, op. cit., p. 165). Le séquestre aux fins de garantie ou de couverture des frais et indemnités à verser, ou des peines pécuniaires et des amendes peut être ordonné sur tous les biens du prévenu, même ceux sans rapport avec l'infraction (MOREILLON / PAREIN-REYMOND, Petit commentaire CPP, 2013, ad art. 263 et 268 CPP).</w:t>
      </w:r>
    </w:p>
    <w:p>
      <w:r>
        <w:t>En revanche, le séquestre pénal ordonné en garantie de la créance compensatrice ne fait pas obstacle à la réalisation des droits patrimoniaux au terme d’une saisie ou d’une faillite. L’exécution forcée de la créance compensatrice s’opère selon la LP et l’Etat – ou le lésé auquel la créance compensatrice a été allouée – doit s’y conformer comme tout autre créancier (PAHUD, op. cit., p. 165).</w:t>
      </w:r>
    </w:p>
    <w:p>
      <w:r>
        <w:rPr>
          <w:b/>
        </w:rPr>
        <w:t>E. 2.3</w:t>
      </w:r>
    </w:p>
    <w:p>
      <w:r>
        <w:t>En l'occurrence, le séquestre a porté sur des actifs en mains du Pouvoir judiciaire, à savoir les sûretés en 150'000 fr. versées dans le cadre de la procédure pénale et les montres et bijoux saisis dans la même procédure.</w:t>
      </w:r>
    </w:p>
    <w:p>
      <w:r>
        <w:t>Il est avéré que le procès-verbal de séquestre ne mentionne pas la valeur estimée des bijoux et montres séquestrés.</w:t>
      </w:r>
    </w:p>
    <w:p>
      <w:r>
        <w:t>Toutefois, à l'instar de ce que la Chambre de céans a retenu dans le cadre du séquestre de ces mêmes actifs au préjudice de l'époux de la plaignante, le procédé de l'Office n'est pas critiquable. En effet, d'une part, l'Office ne pouvait pas partir de l'idée que les sûretés versées par la plaignante dans la procédure pénale, à hauteur de 150'000 fr., seraient finalement affectées au séquestre LP et suffiraient donc à couvrir l'assiette provisoire du séquestre. En fonction de l'issue de la procédure pénale, les sûretés versées pourraient être intégralement utilisées pour payer les éventuelles peines pécuniaires, les amendes, les frais et les indemnités mises à la charge de la plaignante et de son époux, et échapperaient ainsi au séquestre LP. De plus, l'Office a fixé l'assiette provisoire du séquestre à 320'000 fr., montant qui n'est pas critiqué pas et qui est nettement supérieur à celui des sûretés, qui ne sont dès lors pas suffisantes en tout état de cause.</w:t>
      </w:r>
    </w:p>
    <w:p>
      <w:r>
        <w:t>D'autre part, l'on ne voit pas comment l'Office aurait pu déterminer sur quelle partie des objets saisis pénalement, et qui se trouvent en mains du Pouvoir judiciaire, il devait faire porter le séquestre. Au moment de prendre la décision attaquée, l'Office ignorait en effet dans quel but le séquestre pénal avait été ordonné – en vue de confiscation, de restitution au lésé, de paiement des frais de procédure, des peines pécuniaires, des amendes et des indemnités ou en garantie d'une éventuelle créance compensatrice - et donc s'il était censé primer ou pas le</w:t>
      </w:r>
    </w:p>
    <w:p>
      <w:r>
        <w:t>- 9/10 -</w:t>
      </w:r>
    </w:p>
    <w:p>
      <w:r>
        <w:t>A/3041/2022-CS séquestre LP. Il ignorait également quelle partie de ces objets serait, le cas échéant, affectée par les autorités pénales au paiement notamment des frais, peines pécuniaires, amendes ou indemnités et donc soustraite définitivement au séquestre LP. En effet, dans cette hypothèse, les autorités pénales décideront le moment venu quels objets réaliser, rendant ainsi mal aisé pour l'Office de faire porter le séquestre sur une partie seulement de ces actifs, étant encore observé que la plaignante n'allègue pas que la procédure pénale dirigée contre elle et son époux serait depuis lors suffisamment avancée pour permettre de connaître le sort des actifs séquestrés pénalement.</w:t>
      </w:r>
    </w:p>
    <w:p>
      <w:r>
        <w:t>En fonction de l'évolution de la situation, en particulier de la procédure pénale, l'Office pourra procéder à l'estimation des bijoux et montres à leur valeur de réalisation dans le cadre d'une exécution forcée, qui est inférieure aux prix de catalogue, puis le cas échéant compléter le procès-verbal de séquestre.</w:t>
      </w:r>
    </w:p>
    <w:p>
      <w:r>
        <w:t>Il s'ensuit que la présente plainte, infondée, sera rejetée.</w:t>
      </w:r>
    </w:p>
    <w:p>
      <w:r>
        <w:rPr>
          <w:b/>
        </w:rPr>
        <w:t>E. 3</w:t>
      </w:r>
    </w:p>
    <w:p>
      <w:r>
        <w:t>La procédure de plainte est gratuite (art. 20a al. 2 ch. 5 LP et art. 61 al. 2 let. a OELP) et il ne peut être alloué aucun dépens dans cette procédure (art. 62 al. 2 OELP). * * * * *</w:t>
      </w:r>
    </w:p>
    <w:p>
      <w:r>
        <w:t>- 10/10 -</w:t>
      </w:r>
    </w:p>
    <w:p>
      <w:r>
        <w:t>A/3041/2022-CS PAR CES MOTIFS, La Chambre de surveillance :</w:t>
      </w:r>
    </w:p>
    <w:p>
      <w:r>
        <w:t>A la forme : Déclare recevable la plainte formée le 19 septembre 2022 par A______ contre le procès-verbal de séquestre n° 3______. Au fond : La rejette. Siégeant : Madame Verena PEDRAZZINI RIZZI, présidente; Madame Ekaterine BLINOVA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