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DCSO/10/2021 vom 18. Mai 2020</w:t>
      </w:r>
    </w:p>
    <w:p>
      <w:r>
        <w:t>GE Cour de justice, 2020-05-18, FR</w:t>
      </w:r>
    </w:p>
    <w:p>
      <w:r>
        <w:rPr>
          <w:b/>
        </w:rPr>
        <w:t xml:space="preserve">Quelle: </w:t>
      </w:r>
      <w:r>
        <w:t>https://mcp.opencaselaw.ch/entscheid/ge_gerichte_DCSO_10_2021</w:t>
      </w:r>
    </w:p>
    <w:p>
      <w:r>
        <w:t>FR: GE_GERICHTE DCSO/10/2021 du 18 mai 2020</w:t>
      </w:r>
    </w:p>
    <w:p>
      <w:r>
        <w:t>IT: GE_GERICHTE DCSO/10/2021 del 18 maggio 2020</w:t>
      </w:r>
    </w:p>
    <w:p>
      <w:pPr>
        <w:pStyle w:val="Heading2"/>
      </w:pPr>
      <w:r>
        <w:t>Erwägungen</w:t>
      </w:r>
    </w:p>
    <w:p>
      <w:r>
        <w:rPr>
          <w:b/>
        </w:rPr>
        <w:t>E. 1</w:t>
      </w:r>
    </w:p>
    <w:p>
      <w:r>
        <w:t>La Chambre de surveillance est compétente pour statuer sur les plaintes formées en application de la LP (art. 13 al. 1 LP; art. 6 al. 1 et 3 et 7 al. 1 LaLP; art. 125 et 126 al. 1 let. a et al. 2 let. c LOJ) contre des mesures de l'Office non attaquables par la voie judiciaire (art. 17 al. 1 LP). La plainte doit être déposée dans les 10 jours de celui où le plaignant a eu connaissance de la décision attaquée (art. 17 al.</w:t>
      </w:r>
    </w:p>
    <w:p>
      <w:r>
        <w:rPr>
          <w:b/>
        </w:rPr>
        <w:t>E. 2</w:t>
      </w:r>
    </w:p>
    <w:p>
      <w:r>
        <w:t>2.1.1 Aux termes de l'art. 242 LP, l'administration de la faillite rend une décision sur la restitution des objets qui sont revendiqués par un tiers (al.1). Elle impartit à celui dont elle conteste le droit un délai de 20 jours pour intenter son action au for de la faillite. Passé ce délai, la revendication du tiers est périmée (al. 2). Si la masse des créanciers revendique comme étant la propriété du failli des biens meubles qui se trouvent en possession ou en copossession d'un tiers, ou des immeubles qui sont inscrits au registre foncier au nom d'un tiers, elle doit ouvrir action contre le tiers (al. 3).</w:t>
      </w:r>
    </w:p>
    <w:p>
      <w:r>
        <w:t>Dès que l'office des faillites reçoit communication de l'ouverture de la faillite, il procède à l'inventaire des biens du failli (art. 221 LP), à savoir la liste des droits patrimoniaux qui, selon l'administration de la faillite, constituent la masse active : l'inventaire est ainsi susceptible de mentionner des objets en possession du failli mais indiqués comme étant la propriété de tierces personnes ou revendiqués par des tiers, tout comme des objets se trouvant en la puissance de tiers qui les détiennent. La procédure mise en œuvre par l'art. 242 LP a précisément pour finalité de trancher les litiges portant sur l'appartenance de tel ou tel objet à la masse active (JEANDIN/FISCHER, op. cit., n. 1 ad art. 242 LP). La procédure de revendication est réglée aux art. 45 à 52 OAOF. 2.1.2 La revendication a pour seul objet le sort de l'actif litigieux pour la poursuite en cours. Même si la décision sur la revendication fait référence à des arguments de droit matériel, il s'agit d'une décision de droit des poursuites qui n'a d'effet que pour la poursuite en cours; elle n'a donc pas autorité de chose jugée quant au droit matériel et n'exclut nullement que celui-ci soit réexaminé à nouveau dans un procès civil. En conséquence, lorsqu'un organe de la faillite admet une revendication, sa décision a pour seul objet de distraire un avoir de la masse en faillite (arrêt du Tribunal fédéral 4A_185/2011 du 15 novembre 2011 consid. 2.2).</w:t>
      </w:r>
    </w:p>
    <w:p>
      <w:r>
        <w:t>En attribuant à l'administration de la faillite le pouvoir de décider si les biens revendiqués par des tiers leur sont restitués, l'art. 242 al. 1 LP s'en remet à celle-ci pour décider s'il y a lieu ou non de faire droit à une revendication, sous réserve des droits des créanciers (cf. art. 47 al. 1 OAOF) et de la compétence des tribunaux ordinaires pour se prononcer sur les revendications contestées. Les autorités de surveillance n'ont pas à donner d'instructions à l'administration de la faillite au sujet de cette décision, qui dépend de considérations touchant le droit de fond (examinées à titre de question préjudicielle), pas plus qu'elles n'ont à intervenir dans les décisions à prendre au sujet de l'admission d'une créance au passif selon l'art. 245 LP (ATF 87 III 14, JdT 1961 II 75).</w:t>
      </w:r>
    </w:p>
    <w:p>
      <w:r>
        <w:t>2.1.3 Le texte de l'art. 242 LP donne clairement à penser que l'objet sur lequel porte la revendication est une chose corporelle, mobilière ou immobilière. S'agissant des créances et autres droits, la jurisprudence constante du Tribunal fédéral retient le principe selon lequel la procédure de revendication visée par</w:t>
      </w:r>
    </w:p>
    <w:p>
      <w:r>
        <w:t>- 5/7 -</w:t>
      </w:r>
    </w:p>
    <w:p>
      <w:r>
        <w:t>A/3209/2020-CS l'art. 242 LP ne se rapporte à des créances que dans la mesure où celles-ci sont reconnues dans un papier-valeur, soit un titre nominatif (art. 974 CO), un titre au porteur (art. 978 CO) ou un titre à ordre (art. 1145 CO) (ATF 128 III 388, JdT 2002 II 92; ATF 105 III 11 consid. 2, JdT 1980 II 143; ATF 76 III 9; arrêts du Tribunal fédéral 4A_185/2011 précité consid. 2.2; 5A_381/2015 du 24 mai 2016 consid. 3.2 et 4.2; GILLIERON, Commentaire LP, n. 15 ad art. 242 LP; JEANDIN/FISCHER, op. cit., n. 3 ad art. 242 LP; TSCHUMY, La procédure de revendication des art. 106 à 109 et 242 LP in BlSchK 2016 p. 168 ss, p. 180). En d'autres termes, la procédure de revendication de l'art. 242 LP est exclue lorsqu'un tiers fait valoir qu'il est lui- même, et non le failli, titulaire d'une créance inventoriée, non incorporée dans un titre (Ibidem).</w:t>
      </w:r>
    </w:p>
    <w:p>
      <w:r>
        <w:t>Si elle ne fait pas l'unanimité parmi les auteurs, cette jurisprudence, inaugurée en 1950 (ATF 76 III 9), a néanmoins reçu une large approbation au sein de la doctrine (cf. ATF 128 III 388 et les références citées) et le Tribunal fédéral l'a régulièrement confirmée.</w:t>
      </w:r>
    </w:p>
    <w:p>
      <w:r>
        <w:t>Une créance non incorporée dans un papier-valeur ne pouvant donner lieu à la procédure de revendication, le litige éventuel y relatif sera tranché dans la procédure de collocation (GILLIERON, Poursuite pour dettes, faillite et concordat, 2012, n. 1932, p. 456 et les références citées).</w:t>
      </w:r>
    </w:p>
    <w:p>
      <w:r>
        <w:t>2.1.4 Selon l'art. 401 CO, lorsque le mandataire acquiert en son propre nom, pour le compte du mandant, des créances contre des tiers, ces créances deviennent la propriété du mandant dès que celui-ci a satisfait, de son côté, à ses diverses obligations envers le mandataire (al. 1). Le mandant peut faire valoir le même droit contre la masse du mandataire, si ce dernier tombe en faillite (al. 2). Il peut, de même, revendiquer dans la faillite du mandataire les objets mobiliers acquis par ce dernier en son propre nom, mais pour le compte du mandant; sauf à la masse à exercer le droit de rétention qui appartiendrait au mandataire (al. 3).</w:t>
      </w:r>
    </w:p>
    <w:p>
      <w:r>
        <w:t>En vertu de l'art. 197 LP, les biens propriété du débiteur lors de la déclaration de faillite tombent dans la masse et sont affectés au paiement des créanciers. L'art. 401 CO institue une exception en faveur du mandant. Selon cette règle, le mandant qui a satisfait à ses obligations est légalement subrogé aux droits du mandataire qui a acquis pour son compte des créances ou des choses mobilières. Il peut revendiquer dans la faillite du mandataire les créances et les biens meubles acquis pour son compte. Cette règle s'applique à n'importe quelle forme de mandat, pourvu que ses prémisses soient réalisées. Elle ne vise que les créances ou les choses mobilières que le mandataire acquiert en son nom pour le compte du mandant (ATF 102 III 103 consid. 1).</w:t>
      </w:r>
    </w:p>
    <w:p>
      <w:r>
        <w:t>Une revendication basée sur l'art. 401 CO présuppose une individualisation suffisante des biens revendiqués (ATF 108 II 121). Selon la jurisprudence, cette</w:t>
      </w:r>
    </w:p>
    <w:p>
      <w:r>
        <w:t>- 6/7 -</w:t>
      </w:r>
    </w:p>
    <w:p>
      <w:r>
        <w:t>A/3209/2020-CS disposition ne vise que les créances et les choses mobilières acquises par le mandataire et non les deniers ou des crédits à un compte de chèques postaux, difficilement individualisables (ATF 102 II 103 consid. II.2). Sauf circonstances exceptionnelles, lorsqu'il est question d'une somme d'argent, l'ouverture d'un compte dans la comptabilité du mandataire n'individualise pas l'argent reçu de manière suffisante : celle-ci doit être créditée sur un dépôt ou un compte spécial, séparé du patrimoine du mandataire (WERRO, in CR CO I, 2ème éd. 2012, n. 12 ad art. 401 CO; ATF 102 II 103 consid.).</w:t>
      </w:r>
    </w:p>
    <w:p>
      <w:r>
        <w:rPr>
          <w:b/>
        </w:rPr>
        <w:t>E. 2.2</w:t>
      </w:r>
    </w:p>
    <w:p>
      <w:r>
        <w:t>En l'espèce, deux virements bancaires de 20'000 fr. ont été portés au crédit du compte L______ de la défunte en mai 2020, postérieurement à son décès. Les plaignantes soutiennent être les titulaires légitimes de ces sommes d'argent. Ce faisant, elles revendiquent la titularité de créances inventoriées qui ne sont pas incorporées dans un titre.</w:t>
      </w:r>
    </w:p>
    <w:p>
      <w:r>
        <w:t>Partant, c'est à bon droit que l'Office, conformément aux principes rappelés ci- avant, a refusé de donner suite à la requête des plaignantes et invité celles-ci à produire leurs créances selon les règles de la faillite, la procédure de l'art. 242 LP étant exclue in casu.</w:t>
      </w:r>
    </w:p>
    <w:p>
      <w:r>
        <w:t>L'avis doctrinal cité par les plaignantes (RUSSENBERGER, in BSK BlSchK II, 2010, n. 21 ad art. 242 LP) ne leur est d'aucun secours à cet égard, étant relevé qu'il concerne l'art. 401 CO, soit une disposition qui n'a pas vocation à s'appliquer au cas d'espèce. Outre que les virements litigieux ont été portés au crédit du compte courant de la défunte (et non, par hypothèse, sur un sous-compte distinct libellé au nom des plaignantes), aucun élément concret au dossier ne permet de retenir que les versements opérés au printemps 2020 par H______ LTD (BVI) l'auraient été pour le compte des plaignantes.</w:t>
      </w:r>
    </w:p>
    <w:p>
      <w:r>
        <w:t>Finalement, il n'y a pas lieu d'entrer en matière sur les conclusions nos 2 et 3 de la plainte. En toute hypothèse, en effet, la Chambre de surveillance n'a pas à donner des instructions à l'Office au sujet de sa décision sur une tierce revendication.</w:t>
      </w:r>
    </w:p>
    <w:p>
      <w:r>
        <w:t>Par conséquent, la plainte sera rejetée dans la mesure de sa recevabilité.</w:t>
      </w:r>
    </w:p>
    <w:p>
      <w:r>
        <w:rPr>
          <w:b/>
        </w:rPr>
        <w:t>E. 3</w:t>
      </w:r>
    </w:p>
    <w:p>
      <w:r>
        <w:t>La procédure de plainte est gratuite (art. 20a al. 2 ch. 5 LP et art. 61 al. 2 let. a OELP) et ne donne pas lieu à l'allocation de dépens (art. 62 al. 2 OELP).</w:t>
      </w:r>
    </w:p>
    <w:p>
      <w:r>
        <w:t>* * * * *</w:t>
      </w:r>
    </w:p>
    <w:p>
      <w:r>
        <w:t>- 7/7 -</w:t>
      </w:r>
    </w:p>
    <w:p>
      <w:r>
        <w:t>A/3209/2020-CS</w:t>
      </w:r>
    </w:p>
    <w:p>
      <w:r>
        <w:t>PAR CES MOTIFS, La Chambre de surveillance :</w:t>
      </w:r>
    </w:p>
    <w:p>
      <w:r>
        <w:t>Rejette, dans la mesure de sa recevabilité, la plainte formée le 12 octobre 2020 par A______ et B______ contre la décision de l'Office cantonal des faillites du 1er octobre 2020 au sujet de la succession répudiée de feu C______. Siégeant : Madame Nathalie RAPP, présidente; Madame Ekaterine BLINOVA et Monsieur Denis KELLER, juges assesseur(e)s; Madame Véronique AMAUDRY-PISCETTA, greffière.</w:t>
      </w:r>
    </w:p>
    <w:p>
      <w:r>
        <w:t>La présidente :</w:t>
      </w:r>
    </w:p>
    <w:p>
      <w:r>
        <w:t>Nathalie RAPP</w:t>
      </w:r>
    </w:p>
    <w:p>
      <w:r>
        <w:t>La greffière :</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