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DCSO/109/2021 vom 17. November 2020</w:t>
      </w:r>
    </w:p>
    <w:p>
      <w:r>
        <w:t>GE Cour de justice, 2020-11-17, FR</w:t>
      </w:r>
    </w:p>
    <w:p>
      <w:r>
        <w:rPr>
          <w:b/>
        </w:rPr>
        <w:t xml:space="preserve">Quelle: </w:t>
      </w:r>
      <w:r>
        <w:t>https://mcp.opencaselaw.ch/entscheid/ge_gerichte_DCSO_109_2021</w:t>
      </w:r>
    </w:p>
    <w:p>
      <w:r>
        <w:t>FR: GE_GERICHTE DCSO/109/2021 du 17 novembre 2020</w:t>
      </w:r>
    </w:p>
    <w:p>
      <w:r>
        <w:t>IT: GE_GERICHTE DCSO/109/2021 del 17 novembre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 procès-verbal de saisie, et par une partie lésée dans ses intérêts (ATF 138 III 219 consid. 2.3; 129 III 595 consid. 3; 120 III 42 consid. 3), la plainte est recevable.</w:t>
      </w:r>
    </w:p>
    <w:p>
      <w:r>
        <w:t>En dépit de sa brève motivation, on comprend que la plaignante, qui agit en personne, conteste la décision de saisir des droits liés à des actions incorporées dans un certificat d'actions, indépendamment du titre qui les incorpore.</w:t>
      </w:r>
    </w:p>
    <w:p>
      <w:r>
        <w:rPr>
          <w:b/>
        </w:rPr>
        <w:t>E. 2</w:t>
      </w:r>
    </w:p>
    <w:p>
      <w:r>
        <w:t>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 analogie les art. 91 à 109 LP relatifs à la saisie (art. 275 LP). Sa décision doit être entreprise par la voie de la plainte (art. 17 LP) auprès de l'autorité de surveillance (ATF 142 III 291 consid. 2.1 et les références citées).</w:t>
      </w:r>
    </w:p>
    <w:p>
      <w:r>
        <w:t>2.1.2 Aux termes de l'art. 98 LP, lorsque la saisie porte sur des espèces, billets de banque, titres au porteur, effets de change ou autres titres transmissibles par endossement, objets de métaux précieux ou autres objets de prix, l'office les prend</w:t>
      </w:r>
    </w:p>
    <w:p>
      <w:r>
        <w:t>- 5/7 -</w:t>
      </w:r>
    </w:p>
    <w:p>
      <w:r>
        <w:t>A/3810/2020-CS sous sa garde. Lorsque la saisie porte sur une créance ou autre droit non constaté par un titre au porteur ou transmissible par endossement, le préposé prévient le tiers débiteur que désormais il ne pourra plus s'acquitter qu'en mains de l'Office (art. 99 LP).</w:t>
      </w:r>
    </w:p>
    <w:p>
      <w:r>
        <w:t>2.1.3 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w:t>
      </w:r>
    </w:p>
    <w:p>
      <w:r>
        <w:t>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w:t>
      </w:r>
    </w:p>
    <w:p>
      <w:r>
        <w:t>2.1.4 Ne peuvent être saisis - et donc séquestrés - que les biens corporels se trouvant en Suisse (ATF 90 II 158 consid. 4). Est nul tout séquestre autorisé ou pratiqué dans un autre lieu que celui où se trouve l'objet à séquestrer (ATF 56 III 230; 73 III 103 consid. 3; 75 III 26 consid. 2).</w:t>
      </w:r>
    </w:p>
    <w:p>
      <w:r>
        <w:t>2.1.5 Lorsqu'une société a émis des actions au porteur, les droits de l'actionnaire ne peuvent être séquestrés indépendamment des actions elles-mêmes (cf. JdT 1963 II 47 s.).</w:t>
      </w:r>
    </w:p>
    <w:p>
      <w:r>
        <w:t>2.1.6 Le Tribunal fédéral a jugé qu'un séquestre autorisé et pratiqué en Suisse ne saurait porter sur des actions (nominatives américaines) qui se trouvent effectivement à New York (ATF 90 II 158 consid. 4).</w:t>
      </w:r>
    </w:p>
    <w:p>
      <w:r>
        <w:t>Les actions nominatives, même liées, sont des papiers-valeurs. De même que dans le cas des actions au porteur, on ne saurait séquestrer au siège de la société anonyme, indépendamment du titre, un "droit de participation" qui en est le fondement (ATF 92 III 20 consid. 3).</w:t>
      </w:r>
    </w:p>
    <w:p>
      <w:r>
        <w:rPr>
          <w:b/>
        </w:rPr>
        <w:t>E. 2.2</w:t>
      </w:r>
    </w:p>
    <w:p>
      <w:r>
        <w:t>En l'espèce, il résulte des divers éléments au dossier que les 17 actions litigieuses, respectivement le certificat d'actions qui les incorpore, ont/a été émis, ce que la poursuivante concède lorsqu'elle affirme "qu'aux fins de pouvoir réaliser les droits saisi, il faudra, lors de la mise sur pied des opérations de vente, obtenir le concours de la SI pour annuler les 17 actions en question, respectivement le certificat n° 8______ incorporant celles-ci, et en réémettre de nouvelles/un nouveau, puisque Mme A______ s'est ingéniée jusqu'ici à les escamoter des mesures d'exécution forcée entreprises contre elle, lors de sa fuite en Israël". D'ailleurs la représentante la Société immobilière E______ SA a indiqué à l'Office qu'elle n'était pas en possession des 17 actions incorporées dans ledit certificat d'actions, ce qui permet aussi de conclure que les actions, respectivement le certificat d'actions, ont été émis. La Chambre pénale de recours a quant à elle</w:t>
      </w:r>
    </w:p>
    <w:p>
      <w:r>
        <w:t>- 6/7 -</w:t>
      </w:r>
    </w:p>
    <w:p>
      <w:r>
        <w:t>A/3810/2020-CS relevé que le certificat d'actions n'avait pas pu être localisé, ce qui présuppose son existence.</w:t>
      </w:r>
    </w:p>
    <w:p>
      <w:r>
        <w:t>Par conséquent, le séquestre de ces actions, respectivement du certificat d'actions qui les réunit, devait intervenir par la voie de la saisie des biens meubles, conformément à l'art. 98 LP, et non pas par la voie de la saisie des créances, prévue par l'art. 99 LP.</w:t>
      </w:r>
    </w:p>
    <w:p>
      <w:r>
        <w:t>Aucun indice ne permet de considérer que le certificat d'actions se trouve en Suisse, plus particulièrement à Genève, en mains d'un tiers. Il est notamment avéré que ce certificat d'actions ne se trouve pas auprès de l'administration de la société immobilière. Enfin, la plaignante réside en Israël et a selon toute vraisemblance amené avec elle ledit certificat d'actions.</w:t>
      </w:r>
    </w:p>
    <w:p>
      <w:r>
        <w:t>Quand bien même la conversion du séquestre en saisie n’est que le remplacement de la première mesure par la seconde (lorsque le débiteur n'est pas domicilié en Suisse; OCHSNER, La validation et la conversion du séquestre, SJ 2016 II, p. 30), force est de constater que l'Office ne pouvait pas séquestrer à Genève les droits découlant des actions litigieuses, indépendamment du titre qui les incorpore, lequel est selon toute vraisemblance en Israël.</w:t>
      </w:r>
    </w:p>
    <w:p>
      <w:r>
        <w:t>Par conséquent, l'Office ne pouvait pas convertir le séquestre litigieux en saisie définitive.</w:t>
      </w:r>
    </w:p>
    <w:p>
      <w:r>
        <w:t>Aussi, la plainte s'avère bien fondée et le procès-verbal de saisie attaqué sera annulé en tant qu'il convertit en saisie définitive le séquestre n° 5______ portant sur "tous les droits d'usage et/ou de jouissance liés à la détention des 17 actions de la SI E______ SA incorporées dans le certificat d'actions n° 8______ donnant un droit exclusif d'aménagement et d'utilisation d'un appartement n° 8______ de 5 pièces au 2ème étage, d'une place de parking, d'une cave et d'une cabine de piscine appartenant à A______". En revanche, la conversion en saisie définitive sera confirmée en tant qu'elle porte sur le séquestre n° 3______.</w:t>
      </w:r>
    </w:p>
    <w:p>
      <w:r>
        <w:rPr>
          <w:b/>
        </w:rPr>
        <w:t>E. 3</w:t>
      </w:r>
    </w:p>
    <w:p>
      <w:r>
        <w:t>La procédure de plainte est gratuite (art. 20a al. 2 ch. 5 LP et art. 61 al. 2 let. a OELP) et il ne peut être alloué aucuns dépens dans cette procédure (art. 62 al. 2 OELP). * * * * *</w:t>
      </w:r>
    </w:p>
    <w:p>
      <w:r>
        <w:t>- 7/7 -</w:t>
      </w:r>
    </w:p>
    <w:p>
      <w:r>
        <w:t>A/3810/2020-CS PAR CES MOTIFS, La Chambre de surveillance : A la forme : Déclare recevable la plainte formée le 17 novembre 2020 par A______ contre le procès- verbal de saisie, série n° 7______. Au fond : L'admet. Annule le procès-verbal de saisie en tant qu'il convertit en saisie définitive le séquestre n° 5______. Confirme pour le surplus ledit procès-verbal de saisie. Siégeant : Madame Verena PEDRAZZINI RIZZI, présidente; Madame Natalie OPPATJA et Monsieur Denis KELLER,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