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DCSO/109/2016 vom 14. April 2016</w:t>
      </w:r>
    </w:p>
    <w:p>
      <w:r>
        <w:t>GE Cour de justice, 2016-04-14, FR</w:t>
      </w:r>
    </w:p>
    <w:p>
      <w:r>
        <w:rPr>
          <w:b/>
        </w:rPr>
        <w:t xml:space="preserve">Quelle: </w:t>
      </w:r>
      <w:r>
        <w:t>https://mcp.opencaselaw.ch/entscheid/ge_gerichte_DCSO_109_2016</w:t>
      </w:r>
    </w:p>
    <w:p>
      <w:r>
        <w:t>FR: GE_GERICHTE DCSO/109/2016 du 14 avril 2016</w:t>
      </w:r>
    </w:p>
    <w:p>
      <w:r>
        <w:t>IT: GE_GERICHTE DCSO/109/2016 del 14 aprile 2016</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Est une mesure sujette à plainte tout acte d'autorité accompli par un organe de la poursuite en exécution d'une mission officielle dans une affaire concrète; il doit s'agir d'actes pris unilatéralement ou d'office, de nature à créer, modifier ou supprimer une situation du droit de l'exécution forcée dans une procédure d'exécution forcée concrète ; de simples avis ou conseils de l'autorité de poursuite ne sont pas des mesures sujettes à plainte (GILLIERON, Poursuite pour dettes, faillite et concordat, 5ème éd. 2012, n° 248; ERARD, in Commentaire romand, ad art. 17 n° 9 s). La plainte doit être déposée dans les dix jours de celui où le plaignant a eu connaissance de la mesure (art. 17 al. 2 et 31 LP). En l'espèce, dès lors que la décision entreprise est susceptible de modifier la composition des actifs de la masse en faillite, elle peut faire l'objet d'une plainte. Expédiée le 28 décembre 2015, cette dernière a été formée en temps utile.</w:t>
      </w:r>
    </w:p>
    <w:p>
      <w:r>
        <w:rPr>
          <w:b/>
        </w:rPr>
        <w:t>E. 1.2</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JdT 1995 I 189).</w:t>
      </w:r>
    </w:p>
    <w:p>
      <w:r>
        <w:t>En l'espèce, il y a lieu d'admettre la qualité pour former plainte de l'ancien administrateur et de l'actionnaire unique de la faillie, dans la mesure où la décision de faillite de la société, bien qu'exécutoire, n'est pas encore définitive et qu'une admission du recours par le Tribunal fédéral pourrait conduire à faire renaître les droits des intéressés sur les actifs de la société.</w:t>
      </w:r>
    </w:p>
    <w:p>
      <w:r>
        <w:t>La plainte est ainsi recevable.</w:t>
      </w:r>
    </w:p>
    <w:p>
      <w:r>
        <w:rPr>
          <w:b/>
        </w:rPr>
        <w:t>E. 1.3</w:t>
      </w:r>
    </w:p>
    <w:p>
      <w:r>
        <w:t>La Fondation a un intérêt digne de protection à intervenir dans le cadre d'une décision portant sur des actifs retenus par la faillie en garantie de créances prétendument détenues à son encontre. Elle a au demeurant rendu vraisemblable avoir une créance en dommages et intérêts à l'encontre de la faillie en raison d'une</w:t>
      </w:r>
    </w:p>
    <w:p>
      <w:r>
        <w:t>- 7/10 -</w:t>
      </w:r>
    </w:p>
    <w:p>
      <w:r>
        <w:t>A/4517/2015-CS mauvaise gestion. La vente des immeubles grevés des cédules peut être susceptible de diminuer son dommage si elle a lieu de gré à gré, en lieu et place d'une vente aux enchères. La qualité de partie de la Fondation doit par conséquent être admise.</w:t>
      </w:r>
    </w:p>
    <w:p>
      <w:r>
        <w:rPr>
          <w:b/>
        </w:rPr>
        <w:t>E. 1.4</w:t>
      </w:r>
    </w:p>
    <w:p>
      <w:r>
        <w:t>La question de savoir si les pièces produites par les parties dans leur deuxième échange d'écritures sont recevables peut demeurer indécise, dès lors que, quand bien même elles le seraient, elles ne sont pas susceptibles d'influer l'issue de la présente cause.</w:t>
      </w:r>
    </w:p>
    <w:p>
      <w:r>
        <w:rPr>
          <w:b/>
        </w:rPr>
        <w:t>E. 2</w:t>
      </w:r>
    </w:p>
    <w:p>
      <w:r>
        <w:t>Les plaignants invoquent une violation de leur droit d'être entendus, la décision entreprise ne contenant pas de motivation suffisante.</w:t>
      </w:r>
    </w:p>
    <w:p>
      <w:r>
        <w:rPr>
          <w:b/>
        </w:rPr>
        <w:t>E. 2.1</w:t>
      </w:r>
    </w:p>
    <w:p>
      <w:r>
        <w:t>L'art. 29 al. 2 Cst. consacre le droit des parties d'être entendues. 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arrêt du Tribunal fédéral 5A_12/2013 du 8 mars 2013 consid 4.1). L'obligation de motivation vaut également pour l'autorité rendant une décision sujette à recours ou plainte.</w:t>
      </w:r>
    </w:p>
    <w:p>
      <w:r>
        <w:rPr>
          <w:b/>
        </w:rPr>
        <w:t>E. 2.2</w:t>
      </w:r>
    </w:p>
    <w:p>
      <w:r>
        <w:t>En l'espèce, la décision attaquée prévoit la conversion de cédules hypothécaires détenues en garanties par la faillie en argent liquide. Les conditions pour assurer la conservation des valeurs et l'exercice du droit de rétention sont clairement exposées. Il s'agit ainsi d'une mesure conservatoire prise par l'Office, visant à permettre à la masse en faillite de disposer de garanties liquides en lieu et place de cédules hypothécaires. Bien qu'aucune base légale ne soit mentionnée, la décision est suffisamment motivée pour permettre aux plaignants d'en comprendre la portée et d'en contester le fondement. L'animateur de la faillie a en sus pu se déterminer sur la mesure demandée par la Fondation avant le prononcé de la décision. Cette dernière ne consacre donc aucune violation du droit d'être entendu.</w:t>
      </w:r>
    </w:p>
    <w:p>
      <w:r>
        <w:rPr>
          <w:b/>
        </w:rPr>
        <w:t>E. 3</w:t>
      </w:r>
    </w:p>
    <w:p>
      <w:r>
        <w:t>Les plaignants contestent la compétence de l'Office à prendre une telle décision et considèrent, en outre, que cette dernière est prématurée.</w:t>
      </w:r>
    </w:p>
    <w:p>
      <w:r>
        <w:rPr>
          <w:b/>
        </w:rPr>
        <w:t>E. 3.1</w:t>
      </w:r>
    </w:p>
    <w:p>
      <w:r>
        <w:t>Le recours contre la décision de faillite n'ayant pas d'effet suspensif ex lege, l'office des faillites doit procéder à l'inventaire, diligenter les enquêtes nécessaires</w:t>
      </w:r>
    </w:p>
    <w:p>
      <w:r>
        <w:t>- 8/10 -</w:t>
      </w:r>
    </w:p>
    <w:p>
      <w:r>
        <w:t>A/4517/2015-CS et prendre des mesures conservatoires nécessaires sans désemparer aussitôt que l'ouverture de la faillite est portée à sa connaissance (GILLIERON, Commentaire de la LP, n° 8 ad art. 221 LP). L’Office doit, de par la loi en tant qu’organe étatique de l’exécution forcée, assumer la tâche d’administrer la masse active - soit avant même que n’existe une masse en faillite ou une communauté des créanciers pour laquelle l’Office, à défaut de nomination d’une administration spéciale, remplit alors les fonctions d’administration ordinaire (arrêt du Tribunal fédéral 7B.28/2005 du 3 mars 2005 consid. 1; GILLIERON, Commentaire LP, ad Remarques introductives aux art. 235- 243 n° 2 et 13 ss; STOFFEL, Voies d’exécution, § 9 n° 12 ss et § 11 n° 4 ss, 61 s. et 79 ss). L’Office, au titre des mesures de sûreté qui lui incombent légalement dès la communication de l’ouverture de la faillite (art. 176 al. 1 ch. 1 et art. 221 al. 1 LP), doit notamment prendre sous sa garde l’argent comptant, les valeurs, livres de comptabilité, les livres de ménage et les actes de quelque importance appartenant au failli (art. 223 al. 2 LP). Pour définir les mesures nécessaires à la conservation et à l'administration (art. 223 al. 1 LP) des biens inventoriés jusqu'à la première assemblée des créanciers (ou même au-delà en cas de liquidation sommaire), l'administration de la masse dispose d'un pouvoir d'appréciation étendu, que l'autorité cantonale de surveillance, saisie d'une plainte fondée sur l'art. 17 LP, peut revoir avec un plein pouvoir d'examen. 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w:t>
      </w:r>
    </w:p>
    <w:p>
      <w:r>
        <w:rPr>
          <w:b/>
        </w:rPr>
        <w:t>E. 3.2</w:t>
      </w:r>
    </w:p>
    <w:p>
      <w:r>
        <w:t>En l'espèce, bien que le recours au Tribunal fédéral contre le prononcé de la faillite soit encore pendant, l'Office est compétent pour prendre des mesures de sûretés.</w:t>
      </w:r>
    </w:p>
    <w:p>
      <w:r>
        <w:t>Contrairement à ce que soutiennent les plaignants, la décision attaquée ne vise pas la réalisation d'actifs, mais elle consiste en la conversion de cédules hypothécaires en argent. Elle permet la vente de gré à gré des immeubles grevés, laquelle sera plus profitable qu'une vente aux enchères forcées. Cette mesure présente l'avantage pour les créanciers de la faillie de disposer de liquidités destinées à garantir, en lieu et place des cédules hypothécaires, l'entier des créances que la faillie dit détenir à l'encontre de la Fondation. Visant à conserver la substance des actifs de celle-là, elle constitue une mesure de sûreté au sens de l'art. 223 LP.</w:t>
      </w:r>
    </w:p>
    <w:p>
      <w:r>
        <w:t>- 9/10 -</w:t>
      </w:r>
    </w:p>
    <w:p>
      <w:r>
        <w:t>A/4517/2015-CS</w:t>
      </w:r>
    </w:p>
    <w:p>
      <w:r>
        <w:t>Afin de permettre l'exercice du droit de rétention allégué, la décision prévoit que les montants correspondant à la contre-valeur des cédules seront ségrégués. L'Office a soumis son autorisation à la condition supplémentaire que le notaire choisi pour instrumenter chaque vente accepte de conserver la contre-valeur de la cédule concernée jusqu'à nouvelles instructions de sa part sur les modalités de versement de la somme, notamment la date du transfert de fonds. Les plaignants semblent en déduire que les montants obtenus seront ainsi conservés durant toute la procédure de faillite par le notaire. Or, la condition posée par l'Office apparaît relever d'un souci d'organisation interne en vue de permettre la ségrégation des montants. Le notaire instrumentant la vente ne servira ainsi que d'intermédiaire, les contre-valeurs des cédules devant être conservées sous la garde de l'Office. Par ailleurs, il est vrai que le terme de "contre-valeur" des cédules est imprécis, car il pourrait tout aussi bien viser la créance abstraite – ou cédulaire – garantie par le gage immobilier, incorporée dans la cédule, que celle causale découlant de la relation de base pour laquelle la cédule a été remise en garantie (cf. ATF 136 III 288 consid. 3.1). La Fondation demande à ce que la contre-valeur des cédules corresponde à la valeur exacte de la cédule, telle qu'inscrite sur chacune d'entre elles. Ce faisant, elle vise la créance abstraite, qui peut être plus importante que celle causale. La solution proposée par la Fondation garantit ainsi tant les droits des créanciers gagistes que des autres créanciers de la faillie, y compris ceux de tiers, singulièrement des plaignants qui font valoir un droit de rétention. La mesure entreprise n'apparaît par conséquent violer aucune disposition de la loi. Il sera néanmoins précisé que la contre-valeur des cédules qui devra revenir à l'Office devra correspondre au montant de la créance abstraite incorporée dans la cédule. Il s'ensuit que seule une vente de l'immeuble permettant de réunir cette somme sera autorisée. Compte tenu de ce qui précède, et notamment de la précision qu'il convient d'apporter à la décision attaquée, la plainte n'apparaît pas être purement chicanière ou dilatoire. Elle n'est donc pas constitutive d'un abus de droit et ne justifie pas la condamnation des plaignants à une amende.</w:t>
      </w:r>
    </w:p>
    <w:p>
      <w:r>
        <w:rPr>
          <w:b/>
        </w:rPr>
        <w:t>E. 4</w:t>
      </w:r>
    </w:p>
    <w:p>
      <w:r>
        <w:t>Conformément aux art. 20a al. 2 ch. 5 LP, 61 al. 2 let. a et 62 al. 2 OELP, il n’y a pas lieu de percevoir d’émolument de justice, ni d’allouer des dépens. * * * * *</w:t>
      </w:r>
    </w:p>
    <w:p>
      <w:r>
        <w:t>- 10/10 -</w:t>
      </w:r>
    </w:p>
    <w:p>
      <w:r>
        <w:t>A/4517/2015-CS PAR CES MOTIFS, La Chambre de surveillance : A la forme : Déclare recevable la plainte formée le 28 décembre 2015 par B______ et A______SA contre la décision de l'Office des poursuites du 15 décembre 2015. Au fond : Précise que la contre-valeur des cédules hypothécaires visées dans la décision précitée correspond à la valeur de la créance abstraite incorporée dans lesdites cédules. Rejette la plainte pour le surplus. Siégeant : Madame Florence KRAUSKOPF, présidente; Madame Marilyn NAHMANI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