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DCSO/109/2011 vom 9. Februar 2011</w:t>
      </w:r>
    </w:p>
    <w:p>
      <w:r>
        <w:t>GE Cour de justice, 2011-02-09, FR</w:t>
      </w:r>
    </w:p>
    <w:p>
      <w:r>
        <w:rPr>
          <w:b/>
        </w:rPr>
        <w:t xml:space="preserve">Quelle: </w:t>
      </w:r>
      <w:r>
        <w:t>https://mcp.opencaselaw.ch/entscheid/ge_gerichte_DCSO_109_2011</w:t>
      </w:r>
    </w:p>
    <w:p>
      <w:r>
        <w:t>FR: GE_GERICHTE DCSO/109/2011 du 9 février 2011</w:t>
      </w:r>
    </w:p>
    <w:p>
      <w:r>
        <w:t>IT: GE_GERICHTE DCSO/109/2011 del 9 febbraio 2011</w:t>
      </w:r>
    </w:p>
    <w:p>
      <w:pPr>
        <w:pStyle w:val="Heading2"/>
      </w:pPr>
      <w:r>
        <w:t>Regeste</w:t>
      </w:r>
    </w:p>
    <w:p>
      <w:r>
        <w:t>Résumé: Le plaignant n'a produit aucun justificatif attestant d'un quelconque versement en faveur de son fils vivant auprès de sa mère en Italie. Le disponible laissé sur son compte bancaire après saisie lui permet d'assurer son entretien durant plus de deux mois.</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w:t>
      </w:r>
    </w:p>
    <w:p>
      <w:r>
        <w:t>Un avis au sens de l'art. 99 LP constitue une mesure sujette à plainte et le plaignant, en tant que poursuivi, a qualité pour agir par cette voie.</w:t>
      </w:r>
    </w:p>
    <w:p>
      <w:r>
        <w:rPr>
          <w:b/>
        </w:rPr>
        <w:t>E. 1.2</w:t>
      </w:r>
    </w:p>
    <w:p>
      <w:r>
        <w:t>La plainte doit être déposée dans les dix jours de celui où le plaignant a eu connaissance de la mesure (art. 17 al. 2 LP).</w:t>
      </w:r>
    </w:p>
    <w:p>
      <w:r>
        <w:t>En matière de saisie d'une créance, le débiteur est le plus souvent informé de la saisie non par la communication du procès-verbal de saisie, mais par le tiers débiteur de la créance. Le délai de plainte ne commence toutefois à courir qu’à réception du procès-verbal de saisie (Michel Ochsner, in CR-LP ad art. 93 n° 186).</w:t>
      </w:r>
    </w:p>
    <w:p>
      <w:r>
        <w:t>En l'espèce, il est constant que le 9 février 2011, date à laquelle il a formé plainte, le plaignant n'avait pas encore reçu le procès-verbal de saisie, l'Office ayant, dans son courrier du 15 suivant accompagnant la plainte, informé l'Autorité de céans que cet acte était en cours de rédaction. Au surplus, une plainte est recevable en tout temps lorsque la mesure attaquée porte atteinte au minimum vital du débiteur et de sa famille et les place dans une situation intolérable (art. 22 LP ; ATF 114 III 78 consid. 3, JdT 1990 II 162 ; Georges Vonder Mühll, in SchKG II, ad art. 93 LP n° 66). La présente plainte sera donc déclarée recevable.</w:t>
      </w:r>
    </w:p>
    <w:p>
      <w:r>
        <w:rPr>
          <w:b/>
        </w:rPr>
        <w:t>E. 2.1</w:t>
      </w:r>
    </w:p>
    <w:p>
      <w:r>
        <w:t>A teneur de l'art. 92 al. 1 ch. 5, sont insaisissables les denrées alimentaires et le combustibles nécessaires au débiteur et à sa famille pour les deux mois consécutifs à la saisie, ou l'argent liquide ou les créances indispensables pour les acquérir.</w:t>
      </w:r>
    </w:p>
    <w:p>
      <w:r>
        <w:rPr>
          <w:b/>
        </w:rPr>
        <w:t>E. 2.2</w:t>
      </w:r>
    </w:p>
    <w:p>
      <w:r>
        <w:t>En l'espèce, il appert que le plaignant, qui a déclaré à l'Office qu'il percevait un revenu mensuel d'environ 600 fr., est contraint de puiser dans ses réserves bancaires pour assurer son entretien. Il se justifie donc de laisser à sa disposition le montant qui lui est nécessaire pour une durée de deux mois (cf. décision de l'Autorité de surveillance de Bâle-Ville du 15 mai 2003 in BJM 2005 42).</w:t>
      </w:r>
    </w:p>
    <w:p>
      <w:r>
        <w:t>- 4/5 -</w:t>
      </w:r>
    </w:p>
    <w:p>
      <w:r>
        <w:t>A/449/2011-AS</w:t>
      </w:r>
    </w:p>
    <w:p>
      <w:r>
        <w:t>Pour déterminer ce montant, il faut fixer le minimum vital du poursuivi, en fonction des circonstances de fait existant lors de l’exécution de la saisie (ATF 7B.200/2003 consid. 4 - non publié aux ATF 130 III 45 - ; ATF 115 III 103, JdT 1991 II 108 consid. 1c) et sur la base des normes d'insaisissabilité édictées par l'Autorité de surveillance pour le canton de Genève, en vigueur lors de l’exécution de la saisie, soit en l'occurrence les normes d'insaisissabilité pour l'année 2011 (E 3 60.04), étant rappelé que seules les charges effectivement payées doivent être prises en compte (art. 93 al. 1 LP ; ATF 121 III 20, JdT 1997 II 163 et les réf. citées ; ATF 120 III 16, JdT 1996 II 179).</w:t>
      </w:r>
    </w:p>
    <w:p>
      <w:r>
        <w:t>En l'espèce, l'Office a retenu le montant de base mensuel pour un débiteur vivant seul (1'200 fr. ; normes d'insaisissabilité ch. I.1.), le loyer - alors même que cette charge n'est pas payée depuis deux mois - (400 fr. ; ch. II.1.) ainsi que des frais de transport (70 fr. ; ch. II.4.let. d). Il n'a, en revanche, pas retenu la prime d'assurance maladie (ch. II.3.) celle-ci étant impayée, ni une prétendue contribution à l'entretien de l'enfant du poursuivi.</w:t>
      </w:r>
    </w:p>
    <w:p>
      <w:r>
        <w:t>A ce sujet, il sied de rappeler que le texte de l'art. 93 al. 1 LP se rapporte à ce qui est indispensable au débiteur mais également à sa famille. Font ainsi partie de celle-ci les personnes envers lesquelles le débiteur assume une obligation légale ou un devoir moral d'entretien, ce qui est le cas de l'enfant que le plaignant a reconnu (Georges Vonder Mühl, SchKG II, ad art. 93 n° 20).</w:t>
      </w:r>
    </w:p>
    <w:p>
      <w:r>
        <w:t>Cela étant, le plaignant, qui allègue subvenir à l'entretien de son fils, né le xx 2010, ne produit aucun justificatif attestant d'un quelconque versement en sa faveur.</w:t>
      </w:r>
    </w:p>
    <w:p>
      <w:r>
        <w:t>Or, des contributions d'entretien payées à l'étranger ne peuvent être prises en compte dans le calcul du minimum vital que pour autant que le motif de leur paiement et leur versement soient suffisamment prouvés (BlSchK 2008 148).</w:t>
      </w:r>
    </w:p>
    <w:p>
      <w:r>
        <w:t>Tel n'est manifestement pas le cas en l'espèce.</w:t>
      </w:r>
    </w:p>
    <w:p>
      <w:r>
        <w:rPr>
          <w:b/>
        </w:rPr>
        <w:t>E. 2.3</w:t>
      </w:r>
    </w:p>
    <w:p>
      <w:r>
        <w:t>Il s'ensuit que l'Office a correctement fixé le minimum vital du plaignant, à hauteur de 1'670 fr., que ce montant est couvert à concurrence de 600 fr. et que la somme disponible sur son compte bancaire déduction faite de la saisie de 2'500 fr., soit 3'535 fr. 60 (6'025 fr. 60 - 2'500 fr.), lui permet en conséquence d'assurer son entretien, ce durant plus de deux mois.</w:t>
      </w:r>
    </w:p>
    <w:p>
      <w:r>
        <w:rPr>
          <w:b/>
        </w:rPr>
        <w:t>E. 3</w:t>
      </w:r>
    </w:p>
    <w:p>
      <w:r>
        <w:t>Mal fondée, la plainte sera rejetée. * * * * *</w:t>
      </w:r>
    </w:p>
    <w:p>
      <w:r>
        <w:t>- 5/5 -</w:t>
      </w:r>
    </w:p>
    <w:p>
      <w:r>
        <w:t>A/449/2011-AS PAR CES MOTIFS, L'Autorité de surveillance : A la forme : Déclare recevable la plainte formée le 9 février 2010 par M. G______ contre la saisie exécutée à son encontre dans le cadre des poursuites formant la série n° 10 xxxx75 X. Au fond : La rejette. Déboute les parties de toutes autres conclusions. Siégeant : Siégeant : Madame Ariane WEYENETH, présidente ; Messieurs Philipp GANZONI et Christian CHAVAZ, juges assesseurs ;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