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DCSO/106/2022 vom 28. Dezember 2021</w:t>
      </w:r>
    </w:p>
    <w:p>
      <w:r>
        <w:t>GE Cour de justice, 2021-12-28, FR</w:t>
      </w:r>
    </w:p>
    <w:p>
      <w:r>
        <w:rPr>
          <w:b/>
        </w:rPr>
        <w:t xml:space="preserve">Quelle: </w:t>
      </w:r>
      <w:r>
        <w:t>https://mcp.opencaselaw.ch/entscheid/ge_gerichte_DCSO_106_2022</w:t>
      </w:r>
    </w:p>
    <w:p>
      <w:r>
        <w:t>FR: GE_GERICHTE DCSO/106/2022 du 28 décembre 2021</w:t>
      </w:r>
    </w:p>
    <w:p>
      <w:r>
        <w:t>IT: GE_GERICHTE DCSO/106/2022 del 28 dicembre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w:t>
      </w:r>
    </w:p>
    <w:p>
      <w:r>
        <w:rPr>
          <w:b/>
        </w:rPr>
        <w:t>E. 2</w:t>
      </w:r>
    </w:p>
    <w:p>
      <w:r>
        <w:t>Le plaignant reproche à l'Office son refus de l'informer sur la portée du séquestre.</w:t>
      </w:r>
    </w:p>
    <w:p>
      <w:r>
        <w:rPr>
          <w:b/>
        </w:rPr>
        <w:t>E. 2.1</w:t>
      </w:r>
    </w:p>
    <w:p>
      <w:r>
        <w:t>Le débiteur touché par le séquestre n'est pas entendu au stade de l'ordonnance de séquestre. Il peut cependant faire valoir ses droits dans le cadre de la procédure d'opposition à séquestre (278 LP) (MARCHAND/HARI, Précis de droit des poursuites, 2022, n. 970, p. 263). Le délai d'opposition de 10 jours prévu à l'art. 278 al. 1 LP court dès le moment où le débiteur ou le tiers dont les droits sont touchés par le séquestre en ont connaissance (art. 278 al. 1 et 276 al. 2). Pour le débiteur, le délai commence à courir dès réception du procès-verbal de séquestre. Le Tribunal fédéral considère que le principe de la sécurité juridique interdit de faire partir le dies a quo du délais d'opposition avant la communication de ce document, même si le débiteur avait connaissance de la mesure (arrêt du Tribunal fédéral 5A_789/2010 consid. 2, revirement de jurisprudence par rapport à l'ATF 126 III 293 qui retenait que le dies a quo partait dès le moment ou le débiteur avait eu connaissance de la mesure de séquestre ; MARCHAND/HARI, op. cit., n. 970, p. 263). Dans un arrêt de principe (ATF 125 III 391), le Tribunal fédéral a jugé que l'obligation de renseigner d'une banque - tiers détentrice de biens séquestrés - ne prend naissance qu'après l'expiration du délai d'opposition de l'art. 278 LP, le cas échéant qu'après décision définitive sur cette opposition. Cette jurisprudence a été régulièrement confirmée depuis lors (cf. ATF 131 III 660 consid. 4.4; arrêts du Tribunal fédéral 5A_858/2019 du 25 février 2019 consid. 2.3 et la jurisprudence citée).</w:t>
      </w:r>
    </w:p>
    <w:p>
      <w:r>
        <w:t>- 4/5 -</w:t>
      </w:r>
    </w:p>
    <w:p>
      <w:r>
        <w:t>A/4329/2021-CS</w:t>
      </w:r>
    </w:p>
    <w:p>
      <w:r>
        <w:rPr>
          <w:b/>
        </w:rPr>
        <w:t>E. 2.2</w:t>
      </w:r>
    </w:p>
    <w:p>
      <w:r>
        <w:t>En l'espèce, pour que le délai d'opposition puisse échoir, il aurait déjà fallu qu'il commence à courir. Or, il n'est pas établi que le procès-verbal de séquestre a déjà été notifié au débiteur. Par conséquent, le délai de 278 al. 1 LP n'a pas commencé à courir et il ne peut donc être déjà échu. Le certificat émis par le Tribunal de fait qu'attester qu'aucune opposition au séquestre n'avait été déposée lorsqu'il a été dressé, comme l'indique le terme "à ce jour", et non que le délai pour faire opposition était définitivement échu. En revanche, il appartiendra à l'Office de prendre contact avec les autorités françaises afin de savoir si le procès-verbal de séquestre a pu être notifié au débiteur.</w:t>
      </w:r>
    </w:p>
    <w:p>
      <w:r>
        <w:rPr>
          <w:b/>
        </w:rPr>
        <w:t>E. 2.3</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A/4329/2021-CS PAR CES MOTIFS, La Chambre de surveillance :</w:t>
      </w:r>
    </w:p>
    <w:p>
      <w:r>
        <w:t>A la forme : Déclare recevable la plainte formée le 28 décembre 2021 par A______ contre le refus de l'Office des poursuites de le renseigner sur la portée du séquestre exécuté le 31 août 2021 (C/5______/2021). Au fond : Le rejette. Siégeant : Monsieur Patrick CHENAUX, président; Monsieur Luca MINOTTI et Monsieur Mathieu HOWALD,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