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DCSO/105/2016 vom 23. März 2016</w:t>
      </w:r>
    </w:p>
    <w:p>
      <w:r>
        <w:t>GE Cour de justice, 2016-03-23, FR</w:t>
      </w:r>
    </w:p>
    <w:p>
      <w:r>
        <w:rPr>
          <w:b/>
        </w:rPr>
        <w:t xml:space="preserve">Quelle: </w:t>
      </w:r>
      <w:r>
        <w:t>https://mcp.opencaselaw.ch/entscheid/ge_gerichte_DCSO_105_2016</w:t>
      </w:r>
    </w:p>
    <w:p>
      <w:r>
        <w:t>FR: GE_GERICHTE DCSO/105/2016 du 23 mars 2016</w:t>
      </w:r>
    </w:p>
    <w:p>
      <w:r>
        <w:t>IT: GE_GERICHTE DCSO/105/2016 del 23 marzo 2016</w:t>
      </w:r>
    </w:p>
    <w:p>
      <w:pPr>
        <w:pStyle w:val="Heading2"/>
      </w:pPr>
      <w:r>
        <w:t>Erwägungen</w:t>
      </w:r>
    </w:p>
    <w:p>
      <w:r>
        <w:rPr>
          <w:b/>
        </w:rPr>
        <w:t>E. 1</w:t>
      </w:r>
    </w:p>
    <w:p>
      <w:r>
        <w:t>La Chambre de surveillance, siégeant en plénum des juges titulaires et assesseurs (art. 7 al. 3 let. c LaLP), est compétente pour statuer sur la fixation de la rémunération horaire des membres de l'administration spéciale (art. 47 OELP, art. 97 OAOF).</w:t>
      </w:r>
    </w:p>
    <w:p>
      <w:r>
        <w:rPr>
          <w:b/>
        </w:rPr>
        <w:t>E. 2</w:t>
      </w:r>
    </w:p>
    <w:p>
      <w:r>
        <w:t>Sur la base de l’art. 16 al. 1 LP, le Conseil fédéral a arrêté le tarif des émoluments perçus en application de la LP, en édictant l’OELP.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103 III 65 consid. 1). Les émoluments en matière de faillite sont fixés aux art. 44 à 46 OELP. Ils s’appliquent tant à l’administration ordinaire qu’à l’administration spéciale de la faillite (art. 43 OELP).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ce faisant, elle tient compte notamment de la difficulté et de l’importance de l’affaire, du volume de travail fourni et du temps consacré (art. 47 al. 1 OELP).</w:t>
      </w:r>
    </w:p>
    <w:p>
      <w:r>
        <w:rPr>
          <w:b/>
        </w:rPr>
        <w:t>E. 3</w:t>
      </w:r>
    </w:p>
    <w:p>
      <w:r>
        <w:t>En l’occurrence, il peut être admis que la liquidation de la faillite de H______ SA présente une certaine complexité, compte tenu notamment de la répartition géographique de ses actifs, des implications de la faillite suisse en France, où une procédure judiciaire est pendante et où la société fille de la faillie est également en faillite, ainsi que des nombreuses prétentions de tiers sur ses actifs. Ces éléments justifient qu’une modification de la tarification prévue par l’OELP soit adoptée pour l’administrateur spécial. Au vu des actes à accomplir, la rémunération horaire de l’administrateur spécial peut être fixée à 350 fr. l’heure, conformément à sa demande. Le même tarif sera admis pour les services rendus par les associés de l'administrateur spécial, étant cependant précisé que la nécessité de recourir ponctuellement à l'aide de ceux-ci devra être justifiée. * * * * *</w:t>
      </w:r>
    </w:p>
    <w:p>
      <w:r>
        <w:t>- 4/4 -</w:t>
      </w:r>
    </w:p>
    <w:p>
      <w:r>
        <w:t>A/725/2016-CS PAR CES MOTIFS, Le plenum de la Chambre de surveillance : Fixe à 350 fr. la rémunération horaire de Me X______, avocat, pour son activité en qualité d’administrateur spécial de H______ SA en faillite. Fixe à 350 fr. également, le tarif horaire applicable à MMes S______ et C______, avocats associés et auxiliaires de Me X______, administrateur spécial. Siégeant : Madame Valérie LAEMMEL-JUILLARD, présidente; Madame Florence KRAUSKOPF et Monsieur Patrick CHENAUX, juges; Madame Marilyn NAHMANI, Monsieur Georges ZUFFEREY, Monsieur Christian CHAVAZ, Monsieur Eric de PREUX, Monsieur Mathieu HOWALD, Monsieur Denis KELLER et Monsieur Claude MARCET, juges assesseur(e)s.</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