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DCRI/175/2007 vom 7. Mai 2007</w:t>
      </w:r>
    </w:p>
    <w:p>
      <w:r>
        <w:t>GE Cour de justice, 2007-05-07, DE</w:t>
      </w:r>
    </w:p>
    <w:p>
      <w:r>
        <w:rPr>
          <w:b/>
        </w:rPr>
        <w:t xml:space="preserve">Quelle: </w:t>
      </w:r>
      <w:r>
        <w:t>https://mcp.opencaselaw.ch/entscheid/ge_gerichte_DCRI_175_2007</w:t>
      </w:r>
    </w:p>
    <w:p>
      <w:r>
        <w:t>FR: GE_GERICHTE DCRI/175/2007 du 7 mai 2007</w:t>
      </w:r>
    </w:p>
    <w:p>
      <w:r>
        <w:t>IT: GE_GERICHTE DCRI/175/2007 del 7 maggio 2007</w:t>
      </w:r>
    </w:p>
    <w:p>
      <w:pPr>
        <w:pStyle w:val="Heading2"/>
      </w:pPr>
      <w:r>
        <w:t>Regeste</w:t>
      </w:r>
    </w:p>
    <w:p>
      <w:r>
        <w:t>Résumé: Critère de la date de la facture et de celle du décompte de la caisse de maladie.</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A/3131/2004 DCRI/175/2007 du 07.05.2007 ( ICC ) , PARTIELMNT ADMIS Descripteurs : ; FRAIS DE MALADIE ; DÉDUCTION DU REVENU(DROIT FISCAL) Normes : LIPP-V. 4.2 Résumé : Critère de la date de la facture et de celle du décompte de la caisse de maladie.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