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DCPR/134/2011 vom 9. Juni 2011</w:t>
      </w:r>
    </w:p>
    <w:p>
      <w:r>
        <w:t>GE Cour de justice, 2011-06-09, FR</w:t>
      </w:r>
    </w:p>
    <w:p>
      <w:r>
        <w:rPr>
          <w:b/>
        </w:rPr>
        <w:t xml:space="preserve">Quelle: </w:t>
      </w:r>
      <w:r>
        <w:t>https://mcp.opencaselaw.ch/entscheid/ge_gerichte_DCPR_134_2011</w:t>
      </w:r>
    </w:p>
    <w:p>
      <w:r>
        <w:t>FR: GE_GERICHTE DCPR/134/2011 du 9 juin 2011</w:t>
      </w:r>
    </w:p>
    <w:p>
      <w:r>
        <w:t>IT: GE_GERICHTE DCPR/134/2011 del 9 giugno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pénale de recours peut décider d'emblée de traiter, sans échange d'écritures ni débats, les recours manifestement irrecevables ou mal fondés (art. 390 al. 2 première phrase a contrario CPP).</w:t>
      </w:r>
    </w:p>
    <w:p>
      <w:r>
        <w:t>Tel est le cas en l'occurrence, au vu des considérations qui suivent.</w:t>
      </w:r>
    </w:p>
    <w:p>
      <w:r>
        <w:rPr>
          <w:b/>
        </w:rPr>
        <w:t>E. 2.1</w:t>
      </w:r>
    </w:p>
    <w:p>
      <w:r>
        <w:t>Le recours a été déposé selon la forme et dans le délai prescrits (art. 393 et 396 du Code de procédure pénale, du 5 octobre 2007; CPP ; RS 312.0) ; il concerne par ailleurs une décision sujette à recours auprès de la Chambre de céans (art. 20 et 393 al. 1 let. a CPP).</w:t>
      </w:r>
    </w:p>
    <w:p>
      <w:r>
        <w:rPr>
          <w:b/>
        </w:rPr>
        <w:t>E. 2.2</w:t>
      </w:r>
    </w:p>
    <w:p>
      <w:r>
        <w:t>En revanche, la rectification sollicitée n'entre pas, en l'état, dans la compétence de la Chambre pénale de recours.</w:t>
      </w:r>
    </w:p>
    <w:p>
      <w:r>
        <w:t>En effet, l'art. 79 al. 1 CPP, visée par le recourant, permet à la direction de la procédure de rectifier les erreurs manifestes contenues dans un procès-verbal, ce que n'est manifestement pas une ordonnance de non-entrée en matière. Cette disposition est donc inapplicable au cas d'espèce.</w:t>
      </w:r>
    </w:p>
    <w:p>
      <w:r>
        <w:t>La Section 5 du CPP, qui suit directement l'art. 79 CPP, traite des prononcés et prévoit, en son art. 83, les modalités des rectifications. Les demandes de rectification doivent être adressées à l'autorité pénale qui a rendu le prononcé et ne peuvent concerner que le dispositif (A.KUHN/Y.JEANNERET (éds), Code de procédure pénale suisse, Bâle 2011, n° 7 ad. art. 83 CP). Il s'ensuit, d'une part, que le recourant s'est adressé à une autorité qui n'est, en l'état, pas compétente, et, d'autre part, qu'il a formulé une demande sur laquelle il ne peut être entré en matière. A supposer que cela fût possible (M. NIGGLI / M. HEER / H. WIPRÄCHTIGER, Schweizerische Strafprozess ordnung / Schweizerische Jugendstrafprozessordnung, Basler Kommentar StPO/JStPO, Bâle 2010, n° 6 ad. art. 83 CPP), il appartenait alors au recourant de saisir l'autorité pénale de sa demande, ce qu'il n'a pas fait.</w:t>
      </w:r>
    </w:p>
    <w:p>
      <w:r>
        <w:t>Ainsi, en tout état, le recours est irrecevable.</w:t>
      </w:r>
    </w:p>
    <w:p>
      <w:r>
        <w:rPr>
          <w:b/>
        </w:rPr>
        <w:t>E. 3</w:t>
      </w:r>
    </w:p>
    <w:p>
      <w:r>
        <w:t>En tant qu'il succombe, le recourant supportera les frais envers l'Etat (art. 428 al. 1 CPP). * * * * *</w:t>
      </w:r>
    </w:p>
    <w:p>
      <w:r>
        <w:t>- 4/5 - P/2274/2011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