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DCCR/36/2009 vom 4. Februar 2009</w:t>
      </w:r>
    </w:p>
    <w:p>
      <w:r>
        <w:t>GE Cour de justice, 2009-02-04, FR</w:t>
      </w:r>
    </w:p>
    <w:p>
      <w:r>
        <w:rPr>
          <w:b/>
        </w:rPr>
        <w:t xml:space="preserve">Quelle: </w:t>
      </w:r>
      <w:r>
        <w:t>https://mcp.opencaselaw.ch/entscheid/ge_gerichte_DCCR_36_2009</w:t>
      </w:r>
    </w:p>
    <w:p>
      <w:r>
        <w:t>FR: GE_GERICHTE DCCR/36/2009 du 4 février 2009</w:t>
      </w:r>
    </w:p>
    <w:p>
      <w:r>
        <w:t>IT: GE_GERICHTE DCCR/36/2009 del 4 febbraio 2009</w:t>
      </w:r>
    </w:p>
    <w:p>
      <w:pPr>
        <w:pStyle w:val="Heading2"/>
      </w:pPr>
      <w:r>
        <w:t>Erwägungen</w:t>
      </w:r>
    </w:p>
    <w:p>
      <w:r>
        <w:rPr>
          <w:b/>
        </w:rPr>
        <w:t>E. 1</w:t>
      </w:r>
    </w:p>
    <w:p>
      <w:r>
        <w:t>La Commission cantonale de recours en matière administrative, qui a repris depuis le 1er janvier 2009 les compétences de la Commission cantonale de recours en matière d’impôts (art. 162 al. 3 de la loi sur l’organisation judiciaire du 22 novembre 1941 - LOJ - E 2 05), connaît des recours dirigés, comme en l’espèce, contre des décisions de l’administration fiscale cantonale (art. 49 de la loi de procédure fiscale du</w:t>
      </w:r>
    </w:p>
    <w:p>
      <w:r>
        <w:rPr>
          <w:b/>
        </w:rPr>
        <w:t>E. 4</w:t>
      </w:r>
    </w:p>
    <w:p>
      <w:r>
        <w:t>Le recourant demande l’annulation de la reprise, par 100'000 F.</w:t>
      </w:r>
    </w:p>
    <w:p>
      <w:r>
        <w:rPr>
          <w:b/>
        </w:rPr>
        <w:t>E. 5</w:t>
      </w:r>
    </w:p>
    <w:p>
      <w:r>
        <w:t>L’administration soutient que le bénéfice réalisé sur la vente des actions, en 100'000 F (180'000 (prix de vente) – 80'000 (valeur estimée)) est imposable en vertu de l’article 9 lettre c LIPP-IV. Il s’agissait d’une indemnité pour rupture de contrat de travail. L’on se trouvait en présence d’un cas d’évasion fiscale. L’article 9 lettre c LIPP-IV dispose que sont imposables les indemnités obtenues lors de la cessation d’une activité ou de la renonciation à l’exercice de celle-ci. L'article 17 LIPP-V prévoit que de telles indemnités sont soumises à un taux d’impôt réduit. En effet, l'impôt perçu sur une indemnité de ce genre est calculé au taux qui serait applicable s'il était versé une prestation annuelle en lieu et place de la prestation unique. A la différence des prestations en capital provenant de la prévoyance (art 18 LIPP- V), une indemnité allouée consécutivement à un licenciement est imposée dans le cadre de la taxation ordinaire sur le revenu. Le taux d'imposition correspond à une rente annuelle en se fondant sur le tableau de conversion des prestations en capital en rente viagère.</w:t>
      </w:r>
    </w:p>
    <w:p>
      <w:r>
        <w:rPr>
          <w:b/>
        </w:rPr>
        <w:t>E. 6</w:t>
      </w:r>
    </w:p>
    <w:p>
      <w:r>
        <w:t>Les gains en capital réalisés lors de l’aliénation d’éléments de la fortune privée ne sont pas imposables (art. 10 let. i LIPP-IV). A contrario, les bénéfices réalisés dans l’exercice d’une activité professionnelle sont, eux, imposables. Les indices dégagés par la jurisprudence permettant de qualifier de professionnelle l’activité exercée par un contribuable sont les suivants : (i) le caractère systématique ou planifié des activités ; (ii) la fréquence des opérations et la courte durée de possession (iii) le lien entre l’activité professionnelle du contribuable, l’utilisation de connaissances spéciales, l’activité dans le cadre de sociétés de personnes ; (iv) l’utilisation de fonds étrangers et (v) l’utilisation des recettes, respectivement le réinvestissement (Xavier</w:t>
      </w:r>
    </w:p>
    <w:p>
      <w:r>
        <w:t>- 6/8 - A/68/2002 ICC Oberson, Droit fiscal suisse, 3ème édition, 2007, p. 93-94, § 47 ; Arrêt du Tribunal fédéral 2A.486/2002 du 31 mars 2003 in RDAF 2003 II 599).</w:t>
      </w:r>
    </w:p>
    <w:p>
      <w:r>
        <w:rPr>
          <w:b/>
        </w:rPr>
        <w:t>E. 7</w:t>
      </w:r>
    </w:p>
    <w:p>
      <w:r>
        <w:t>Sur la base de ces indices, l’administration est ainsi amenée, dans chaque cas, à examiner à la lumière de toutes les circonstances, si les gains en question sont liés à l’exercice d’une activité professionnelle et donc sont soumis à l’impôt. Ces indices ne sont pas cumulatifs. Suivant son importance dans un cas concret, la présence d’un seul indice (notamment le recours à des fonds étrangers) peut emporter la qualification d’activité professionnelle (ATF 125 II 113 = RDAF 199 II 391).</w:t>
      </w:r>
    </w:p>
    <w:p>
      <w:r>
        <w:rPr>
          <w:b/>
        </w:rPr>
        <w:t>E. 8</w:t>
      </w:r>
    </w:p>
    <w:p>
      <w:r>
        <w:t>En l’espèce, il s’avère que, selon le protocole d’accord du 29 avril 2002, C___, B___ et le recourant se sont entendus au sujet de la renonciation par ce dernier à sa charge d’administrateur et à son poste de directeur. Dans le cadre du départ du recourant de la V___ SA, la société a été d’accord de lui racheter ses actions pour 180'000 F. Elle s’est par ailleurs engagée à payer au recourant son salaire jusqu’au 31 juillet 2002 – date de son départ – plus trois mois de salaire supplémentaires, ainsi qu’un montant compensatoire de 90'300 F, soit au total 180'600 F. Il résulte de ce qui précède que, quoique l’administration soutienne le contraire, le contribuable n’a pas négocié l’intégration de son indemnité de départ dans le prix de vente de ses actions.</w:t>
      </w:r>
    </w:p>
    <w:p>
      <w:r>
        <w:rPr>
          <w:b/>
        </w:rPr>
        <w:t>E. 9</w:t>
      </w:r>
    </w:p>
    <w:p>
      <w:r>
        <w:t>Bien au contraire, il apparaît très clairement à la lecture dudit protocole d’accord que le recourant a perçu une indemnité de départ distincte de la somme touchée ensuite de la vente de ses actions. Il s’agit des trois mois de salaire supplémentaire et de l’indemnité compensatoire. Par conséquent, il n’y a pas eu de volonté d’éluder l’impôt de la part du contribuable. Par ailleurs, il ressort du dossier que le montant de 180'600 F – consistant en salaire et en indemnité compensatoire – n’a pas été payé au contribuable lui-même. Au contraire, V___ SA a payé cette somme à Y___ SA les 4 juillet et 5 août 2002. Ce montant n’est par conséquent pas imposable dans le chef du contribuable.</w:t>
      </w:r>
    </w:p>
    <w:p>
      <w:r>
        <w:rPr>
          <w:b/>
        </w:rPr>
        <w:t>E. 10</w:t>
      </w:r>
    </w:p>
    <w:p>
      <w:r>
        <w:t>Le recourant a acquis les 30 actions de V___ SA en 1996, lorsque cette société a acquis le goodwill de U___, entreprise en raison individuelle dont il était le chef. Celui-ci a revendu ses titres à Z___ et CIE SA en 2002, lorsqu’il a cessé ses fonctions d’administrateur et de directeur auprès de V___ SA. Il résulte de ce qui précède que l’achat et la vente des actions ont été réalisées exclusivement dans le cadre de l’activité professionnelle du recourant. Par ailleurs, le prix de vente – 180'000 F – a été utilisé pour partie pour fonder Y___ SA en juin 2002 et pour partie comme apport du contribuable dans cette société. Il appert que l’intégralité du prix de vente des actions a été employée aux fins de réinvestissement, soit dans le but de créer une nouvelle société dont le contribuable détient la quasi-totalité du capital- actions. Au vu de ce qui précède, la commission estime que le bénéfice réalisé sur la vente des actions, par 100'000 F, constitue un gain réalisé dans l’exercice de l’activité professionnelle du recourant. Cette somme est, partant, imposable. Par conséquent, la reprise effectuée par l’administration était justifiée.</w:t>
      </w:r>
    </w:p>
    <w:p>
      <w:r>
        <w:t>- 7/8 - A/68/2002 ICC</w:t>
      </w:r>
    </w:p>
    <w:p>
      <w:r>
        <w:rPr>
          <w:b/>
        </w:rPr>
        <w:t>E. 11</w:t>
      </w:r>
    </w:p>
    <w:p>
      <w:r>
        <w:t>Au vu de ce qui précède, le recours est rejeté.</w:t>
      </w:r>
    </w:p>
    <w:p>
      <w:r>
        <w:rPr>
          <w:b/>
        </w:rPr>
        <w:t>E. 12</w:t>
      </w:r>
    </w:p>
    <w:p>
      <w:r>
        <w:t>En application des articles 52 alinéa 1 LPFisc, 87 alinéa 1 de la loi genevoise sur la procédure administrative (LPA - E 5 10) et 1 et 2 du règlement genevois sur les frais, émoluments et indemnités en procédure administrative (RFPA - E 5 10.03), le contribuable, qui succombe, devra payer un émolument de 500 F.</w:t>
      </w:r>
    </w:p>
    <w:p>
      <w:r>
        <w:t>- 8/8 - A/68/2002 ICC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