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DCCR/1772/2010 vom 8. Dezember 2010</w:t>
      </w:r>
    </w:p>
    <w:p>
      <w:r>
        <w:t>GE Cour de justice, 2010-12-08, FR</w:t>
      </w:r>
    </w:p>
    <w:p>
      <w:r>
        <w:rPr>
          <w:b/>
        </w:rPr>
        <w:t xml:space="preserve">Quelle: </w:t>
      </w:r>
      <w:r>
        <w:t>https://mcp.opencaselaw.ch/entscheid/ge_gerichte_DCCR_1772_2010</w:t>
      </w:r>
    </w:p>
    <w:p>
      <w:r>
        <w:t>FR: GE_GERICHTE DCCR/1772/2010 du 8 décembre 2010</w:t>
      </w:r>
    </w:p>
    <w:p>
      <w:r>
        <w:t>IT: GE_GERICHTE DCCR/1772/2010 del 8 dicembre 2010</w:t>
      </w:r>
    </w:p>
    <w:p>
      <w:pPr>
        <w:pStyle w:val="Heading2"/>
      </w:pPr>
      <w:r>
        <w:t>Erwägungen</w:t>
      </w:r>
    </w:p>
    <w:p>
      <w:r>
        <w:rPr>
          <w:b/>
        </w:rPr>
        <w:t>E. 1</w:t>
      </w:r>
    </w:p>
    <w:p>
      <w:r>
        <w:t>La Commission cantonale de recours en matière administrative connaît des recours dirigés, comme en l’espèce, contre des décisions de l'Administration fiscale cantonale (art. 56X al. 2 et 56Y LOJ ; art. 140 de la loi fédérale sur l'impôt fédéral direct du 14 décembre 1990 – LIFD – RS 642.11 et art. 5 du règlement d'application de diverses dispositions fiscales fédérales du 30 décembre 1958 – RDDFF – D 3 80.04 ; art. 49 de la loi de procédure fiscale du 4 octobre 2001 – LPFisc – D 3 17).</w:t>
      </w:r>
    </w:p>
    <w:p>
      <w:r>
        <w:rPr>
          <w:b/>
        </w:rPr>
        <w:t>E. 2</w:t>
      </w:r>
    </w:p>
    <w:p>
      <w:r>
        <w:t>Interjetés en temps utile et dans les formes prescrites devant la juridiction compétente, le recours est recevable au sens des articles 140 LIFD et 49 LPFisc.</w:t>
      </w:r>
    </w:p>
    <w:p>
      <w:r>
        <w:rPr>
          <w:b/>
        </w:rPr>
        <w:t>E. 3</w:t>
      </w:r>
    </w:p>
    <w:p>
      <w:r>
        <w:t>Chacun des associés ajoute à ses propres éléments imposables sa part du revenu de la société en commandite (art. 10 al. 1 LIFD ; art. 9 LIPP-I). Impôt fédéral direct</w:t>
      </w:r>
    </w:p>
    <w:p>
      <w:r>
        <w:rPr>
          <w:b/>
        </w:rPr>
        <w:t>E. 4</w:t>
      </w:r>
    </w:p>
    <w:p>
      <w:r>
        <w:t>Pour l’année 2003, le contribuable revendique une provision pour perte sur créance d’un montant de 4'656'759 fr. 58.</w:t>
      </w:r>
    </w:p>
    <w:p>
      <w:r>
        <w:t>- 5/10 - A/710/2009</w:t>
      </w:r>
    </w:p>
    <w:p>
      <w:r>
        <w:rPr>
          <w:b/>
        </w:rPr>
        <w:t>E. 5</w:t>
      </w:r>
    </w:p>
    <w:p>
      <w:r>
        <w:t>A teneur de l’article 27 alinéa 1 LIFD, les contribuables exerçant une activité lucrative indépendante peuvent déduire les frais qui sont justifiés par l’usage commercial ou professionnel. Font notamment partie de ces frais les amortissements et les provisions au sens des articles 28 et 29 LIFD (art. 27 al. 2 let. a LIFD).</w:t>
      </w:r>
    </w:p>
    <w:p>
      <w:r>
        <w:rPr>
          <w:b/>
        </w:rPr>
        <w:t>E. 6</w:t>
      </w:r>
    </w:p>
    <w:p>
      <w:r>
        <w:t>Les provisions sont des déductions portées à la charge du compte de résultat pour tenir compte de dépenses ou de pertes dont le montant exact ou l'ampleur n'est pas encore établie de façon certaine (Xavier OBERSON, Droit fiscal suisse, 2007, § 241 p. 145). La cause de la diminution de valeur ou de la perte doit être survenue pendant l'exercice commercial (RDAF 1975 p. 355). La provision a un caractère provisoire et doit être justifiée par l'usage commercial. Elle doit porter, conformément au principe de périodicité, sur des faits dont l'origine se déroule durant la période de calcul (OBERSON, op. cit., § 241 p. 145 ; arrêts du Tribunal fédéral 2P.184/2004 du 21 juin 2004; 4C.281/2002 du 25 février 2003 ; ATA/31/2004 du 13 janvier 2004 ; ATA/669/2003 du 2 septembre 2003).</w:t>
      </w:r>
    </w:p>
    <w:p>
      <w:r>
        <w:t>Selon la jurisprudence constante du Tribunal administratif, deux conditions doivent être réunies pour que les provisions soient admises : les faits qui sont la cause du risque de perte doivent s'être produits au cours de l'exercice clos pendant la période de calcul ; le risque de perte doit être certain ou quasi certain, mais non nécessairement définitif. Par ailleurs, l'appréciation du risque doit être faite en tenant compte de tous les faits connus à la date du bouclement des comptes et non de faits ultérieurs qui viendraient confirmer ou infirmer le montant de la provision (ATA/31/2004 précité).</w:t>
      </w:r>
    </w:p>
    <w:p>
      <w:r>
        <w:t>Les risques de pertes sur créances se mesurent au degré de solvabilité des débiteurs dont la situation devrait être analysée et appréciée en fonction de retards éventuels dans les paiements, de poursuites en cours ou de l'évolution de ses affaires. L'estimation directe du degré de solvabilité ne porte que sur des créances relativement importantes, car une évaluation de tous les risques de cas en cas est pratiquement impossible. En conséquence, la constitution d'une provision générale pour débiteurs douteux est admise sans qu'il soit nécessaire d'apporter la preuve du risque. Une correction de 5 % est autorisée sur la valeur nominale des créances non garanties contre les débiteurs suisses et de 10 % sur les créances envers les débiteurs étrangers (DCCR/192/2009 du 9 mars 2009 ; Pierre Alain LOOSLI, L'entreprise en raison individuelle, Imposition du revenu et de la fortune en droit genevois et fédéral, p. 59).</w:t>
      </w:r>
    </w:p>
    <w:p>
      <w:r>
        <w:t>Une charge doit être enregistrée dès qu'existe une obligation de la payer. Le rattachement d'une charge à un exercice n'intervient pas au moment de la comptabilisation ou du paiement mais à celui de la naissance de l'obligation. Les provisions doivent être constituées à la charge du compte de résultat pour tenir compte d'engagements dont le montant exact ou l'ampleur n'est pas encore établi</w:t>
      </w:r>
    </w:p>
    <w:p>
      <w:r>
        <w:t>- 6/10 - A/710/2009 de façon certaine ou d'autres risques de pertes imminentes (Arrêt du Tribunal fédéral 2P.184/2003 du 21 juin 2004 et les références citées).</w:t>
      </w:r>
    </w:p>
    <w:p>
      <w:r>
        <w:t>Le contribuable ne peut faire supporter des frais ou des dépenses à un exercice autre que celui durant lequel ils sont intervenus, chaque dépense ou recette devant être attribuée à l’exercice durant lequel est née l’obligation ou la prétention juridique (ATA G. et P. SA du 23 février 1993 et référence).</w:t>
      </w:r>
    </w:p>
    <w:p>
      <w:r>
        <w:rPr>
          <w:b/>
        </w:rPr>
        <w:t>E. 7</w:t>
      </w:r>
    </w:p>
    <w:p>
      <w:r>
        <w:t>De jurisprudence constante, « Dès que le bilan est définitif, l'entreprise est limitée dans les changements qu'elle entend lui apporter. Les limites qui lui sont imposées diffèrent, cependant, selon qu'elle procède à des corrections ou à des modifications de sa comptabilité (RDAF 1977, 371-383, p. 376). Les corrections ont pour but de rendre conforme au droit commercial un bilan qui viole une disposition impérative du code des obligations. Les modifications sont les changements qu'une entreprise apporte à son bilan dans le cadre du pouvoir d'appréciation que lui laisse le droit commercial (RDAF, 1977 371-383, p. 374). Les corrections de bilan peuvent être effectuées par le contribuable, mais seulement jusqu'à l'entrée en force de la taxation. Des corrections a posteriori ne sont concevables que dans le cadre d'une procédure de révision. Les modifications de bilan, en revanche, sont possibles, jusqu'au moment où le bilan est porté à la connaissance des autorités fiscales (OBERSON, op. cit., p. 182, n° 2). Ainsi, l'entreprise ne pouvait revenir sur certaines opérations comptables uniquement parce qu'elle en ignorait les suites fiscales, et rectifier son résultat de façon à obtenir une taxation plus favorable (RDAF, 1977 371-383, p. 380) ». (ATA/669/2003 du 02 septembre 2009).</w:t>
      </w:r>
    </w:p>
    <w:p>
      <w:r>
        <w:rPr>
          <w:b/>
        </w:rPr>
        <w:t>E. 8</w:t>
      </w:r>
    </w:p>
    <w:p>
      <w:r>
        <w:t>Le principe de périodicité s’oppose à ce qu’une correction afférente à une période fiscale donnée et qui n’a pas pu être opérée (taxation en force) soit effectuée dans le cadre d’une taxation postérieure encore ouverte. Cela étant, ceci ne signifie pas que cette dernière taxation doive être établie sur la base d’un bilan vicié. En effet, ce dernier devra être modifié dans la mesure où il sert de base à une taxation future ou exerce une influence sur le résultat d’exercices ultérieurs. Par exemple, lorsqu’une entreprise omet de comptabiliser certaines charges et que cette omission a pour effet de réduire le montant des pertes reportables sur un exercice ultérieur, la comptabilisation de ces charges doit être prise en compte aux fins de la détermination du report de pertes afférent à ce dernier exercice (Robert DANON in Danielle YERSIN, Yves NOËL, Commentaire romand de la loi fédérale sur l’impôt fédéral direct, art. 57-58, § 42, p. 728-729 et les références citées). Dans sa jurisprudence, le Tribunal fédéral a rappelé qu’un bilan qui contrevient aux dispositions impératives du droit commercial doit être corrigé à des fins fiscales. Lorsque la correction n’est pas possible parce que la taxation est entrée en force et qu’il n’y a pas de motif de rappel d’impôt ou de révision, l’erreur produit ses effets sur les années ultérieures. C’est la raison pour laquelle des</w:t>
      </w:r>
    </w:p>
    <w:p>
      <w:r>
        <w:t>- 7/10 - A/710/2009 erreurs de comptabilisation au bilan, dont la correction n’a pas eu lieu durant les années antérieures doivent aussi être corrigées (Arrêt du Tribunal fédéral 2A.370/2004 du 11 novembre 2005 in RDAF 2006 II 228, 236-237).</w:t>
      </w:r>
    </w:p>
    <w:p>
      <w:r>
        <w:rPr>
          <w:b/>
        </w:rPr>
        <w:t>E. 9</w:t>
      </w:r>
    </w:p>
    <w:p>
      <w:r>
        <w:t>En l’espèce, le recourant soutient qu’en 2003, la créance de A___ &amp; Cie envers C___ SA est devenue irrécouvrable, en raison de la cessation des activités de cette société, de sa liquidation et de sa radiation du Registre du commerce. Or, l’examen des comptes 2002 démontre que la société débitrice connaissait de graves difficultés. Cet exercice s’est soldé par une perte de 917'885 fr. 67. Elle ne disposait pas de fonds propres. Au contraire, ceux-ci étaient négatifs et se montaient à -4'115'949 fr. 62. Par ailleurs, la créance de A___ &amp; Cie a été postposée. Au vu de ce qui précède, il est manifeste qu’au 31 décembre 2002, il existait pour A___ &amp; Cie un risque manifeste quant au caractère recouvrable de sa créance envers A___ &amp; Cie SA. Au reste, le contribuable admet qu’au 31 décembre 2002, il existait une incertitude quant à l’éventualité ou à l’étendue possible d’une perte sur cette créance. En vertu du principe de périodicité, la provision litigieuse aurait dû être comptabilisée au 31 décembre 2002 et non l’année suivante. Cela étant dit, il s’avère que la comptabilisation de la provision en 2002 aurait influé sur le montant d’éventuelles pertes à reporter. Or, la taxation 2002 est entrée en force, dès lors qu’elle n’a pas été attaquée par la voie de la réclamation. Elle ne peut cependant plus être remise en cause par la voie de la révision, attendu notamment que le recourant aurait pu faire valoir en déduction la provision par la voie de la procédure ordinaire. La provision litigieuse peut néanmoins être prise en considération, en tant qu’elle vient augmenter un éventuel montant de pertes à reporter sur l’année 2003. Le dossier sera donc renvoyé à l’administration pour qu’elle détermine, s’agissant de la taxation 2002, le montant éventuel des pertes à reporter en 2003, ainsi que le montant du bénéfice net 2003, compte tenu de ces hypothétiques pertes. Il en résulte que le recours doit être admis partiellement sur ce point.</w:t>
      </w:r>
    </w:p>
    <w:p>
      <w:r>
        <w:rPr>
          <w:b/>
        </w:rPr>
        <w:t>E. 10</w:t>
      </w:r>
    </w:p>
    <w:p>
      <w:r>
        <w:t>Subsidiairement, le recourant demande la déduction de la perte réalisée en 2003. Font notamment partie des frais justifiés par l’usage commerciale les pertes effectives sur des éléments de la fortune commerciale, à condition qu’elles aient été comptabilisées (art. 27 al. 2 let. b LIFD).</w:t>
      </w:r>
    </w:p>
    <w:p>
      <w:r>
        <w:t>En vertu des principes de l’étanchéité des exercices et de la périodicité de l’impôt, chaque exercice est considéré comme un tout autonome sans que le résultat d’un exercice puisse avoir une influence sur les suivants d’une part, et le contribuable ne saurait choisir au cours de quelle année fiscale il ferait valoir les déductions</w:t>
      </w:r>
    </w:p>
    <w:p>
      <w:r>
        <w:t>- 8/10 - A/710/2009 autorisées, d’autre part (ATA/443/2007 du 4 septembre 2007 ; ATA/217/2007 du 8 mai 2007 et références citées). Les déductions doivent être demandées dans la déclaration d'impôts de l'année au cours de laquelle les faits justifiant l'octroi des déductions se sont produits (ATA/540/2001 du 28 août 2001).</w:t>
      </w:r>
    </w:p>
    <w:p>
      <w:r>
        <w:t>Le contribuable ne peut faire supporter des frais ou des dépenses à un exercice autre que celui durant lequel ils sont intervenus, chaque dépense ou recette devant être attribuée à l’exercice durant lequel est née l’obligation ou la prétention juridique (ATA G. et P. SA du 23 février 1993 et références).</w:t>
      </w:r>
    </w:p>
    <w:p>
      <w:r>
        <w:t>Dans sa jurisprudence (DCCR/272/2007 du 18 juin 2007), la Commission a jugé que si un contribuable ne constituait pas une provision, alors qu’il était tenu de le faire, il s’exposait au risque de se voir refuser le droit de déduire la perte de son bénéfice imposable, pour le cas où celle-ci deviendrait définitive.</w:t>
      </w:r>
    </w:p>
    <w:p>
      <w:r>
        <w:rPr>
          <w:b/>
        </w:rPr>
        <w:t>E. 11</w:t>
      </w:r>
    </w:p>
    <w:p>
      <w:r>
        <w:t>En l’espèce, le recourant n’a pas constitué de provision. Il s’avère, au vu de la situation financière de C___ SA, que sa créance au 31 décembre 2002 envers cette société présentait un risque manifeste quant à la possibilité de la recouvrer (perte de l’exercice ; fonds propres négatifs). Partant, le recourant aurait dû constituer une provision à cette date (cf. consid. 9 supra). C’est ainsi à l’année 2002 – et non à l’année 2003 – que doit être rattachée la perte sur la créance envers C___ SA. Or, le précité ne saurait choisir durant quelle année fiscale il fait valoir en déduction ladite perte. Dès lors qu’il n’a pas comptabilisé de provision en 2002, il ne peut déduire la perte qui s’est réalisée en 2003. Il s’ensuit que le recours doit être rejeté sur ce point.</w:t>
      </w:r>
    </w:p>
    <w:p>
      <w:r>
        <w:rPr>
          <w:b/>
        </w:rPr>
        <w:t>E. 12</w:t>
      </w:r>
    </w:p>
    <w:p>
      <w:r>
        <w:t>Au vu de ce qui précède, le recours doit être admis partiellement en tant qu’il concerne l’impôt fédéral direct. Impôt cantonal et communal</w:t>
      </w:r>
    </w:p>
    <w:p>
      <w:r>
        <w:rPr>
          <w:b/>
        </w:rPr>
        <w:t>E. 13</w:t>
      </w:r>
    </w:p>
    <w:p>
      <w:r>
        <w:t>Le 1er janvier 2010 est entrée en vigueur la loi sur l’imposition des personnes physiques du 27 septembre 2009 (LIPP – D 3 08), dont l'article 69 abroge les cinq anciennes lois sur l’imposition des personnes physiques (LIPP-I à V). L’article 72 alinéa 1 LIPP prévoit que cette loi s’applique pour la première fois pour les impôts de la période fiscale 2010, et que les impôts relatifs aux périodes fiscales antérieures demeurent régis par les dispositions de l’ancien droit, même après l’entrée en vigueur de la nouvelle loi. En l’espèce, le recours concerne la période fiscale 2003. Il s’ensuit que la présente cause est régie par les dispositions de l’ancien droit (LIPP-I à V).</w:t>
      </w:r>
    </w:p>
    <w:p>
      <w:r>
        <w:rPr>
          <w:b/>
        </w:rPr>
        <w:t>E. 14</w:t>
      </w:r>
    </w:p>
    <w:p>
      <w:r>
        <w:t>Pour l’année 2003, le contribuable revendique une provision pour perte sur créance d’un montant de 4'656'759 fr. 58.</w:t>
      </w:r>
    </w:p>
    <w:p>
      <w:r>
        <w:t>- 9/10 - A/710/2009 Sont déduits du revenu des contribuables exerçant une activité lucrative indépendante les frais qui sont justifiés par l’usage commercial ou professionnel. Font notamment partie de ces frais les amortissements justifiés par l'usage commercial à la condition qu'ils soient comptabilisés ou, à défaut de comptabilité tenue en bonne et due forme, qu'ils apparaissent dans un plan spécial d'amortissement (art. 3 al. 3 let. d LIPP-V) Cette disposition est le pendant de l’article 27 alinéa 2 lettre a LIFD. La commission appliquera par conséquent, pour l’impôt cantonal et communal, pour des motifs d’harmonisation verticale, la jurisprudence rendue en matière d’impôt fédéral direct et s’inspirera de la doctrine publiée dans ce domaine. Le dossier sera donc renvoyé à l’administration pour qu’elle détermine, s’agissant de la taxation 2002, le montant éventuel des pertes à reporter en 2003, ainsi que le montant du bénéfice net 2003, compte tenu de ces hypothétiques pertes. Il s’ensuit que le recours doit être admis partiellement sur ce point.</w:t>
      </w:r>
    </w:p>
    <w:p>
      <w:r>
        <w:rPr>
          <w:b/>
        </w:rPr>
        <w:t>E. 15</w:t>
      </w:r>
    </w:p>
    <w:p>
      <w:r>
        <w:t>Subsidiairement, le recourant demande la déduction de la perte réalisée en 2003. L’article 3 alinéa 3 LIPP-V permet la déduction des pertes, à l’instar de l’article 27 alinéa 2 lettre b LIFD. Dès lors que le recourant n’a pas constitué de provision en 2002, il n’est pas fondé à déduire la perte qui s’est réalisée en 2003. Il s’ensuit que le recours doit être rejeté sur ce point.</w:t>
      </w:r>
    </w:p>
    <w:p>
      <w:r>
        <w:rPr>
          <w:b/>
        </w:rPr>
        <w:t>E. 16</w:t>
      </w:r>
    </w:p>
    <w:p>
      <w:r>
        <w:t>Au vu de ce qui précède, le recours doit être admis partiellement en tant qu’il concerne l’impôt cantonal et communal.</w:t>
      </w:r>
    </w:p>
    <w:p>
      <w:r>
        <w:rPr>
          <w:b/>
        </w:rPr>
        <w:t>E. 17</w:t>
      </w:r>
    </w:p>
    <w:p>
      <w:r>
        <w:t>En application des articles 144 alinéa 1 LIFD, 52 alinéa 1 LPFisc, 87 alinéa 1 de la loi sur la procédure administrative du 12 septembre 1985 – LPA – E 5 10), le contribuable, dont le recours est admis partiellement, est condamné au paiement d’un émolument réduit à 300 fr. Ce montant est couvert par l’avance de frais de 500 fr., effectuée au moment du dépôt du recours (art. 86 al. 1 LPA). Le solde de l’avance de frais de 200 fr. lui est restitué.</w:t>
      </w:r>
    </w:p>
    <w:p>
      <w:r>
        <w:t>- 10/10 - A/710/2009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