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DCBA/58/2023 vom 20. März 2023</w:t>
      </w:r>
    </w:p>
    <w:p>
      <w:r>
        <w:t>GE Cour de justice, 2023-03-20, FR</w:t>
      </w:r>
    </w:p>
    <w:p>
      <w:r>
        <w:rPr>
          <w:b/>
        </w:rPr>
        <w:t xml:space="preserve">Quelle: </w:t>
      </w:r>
      <w:r>
        <w:t>https://mcp.opencaselaw.ch/entscheid/ge_gerichte_DCBA_58_2023</w:t>
      </w:r>
    </w:p>
    <w:p>
      <w:r>
        <w:t>FR: GE_GERICHTE DCBA/58/2023 du 20 mars 2023</w:t>
      </w:r>
    </w:p>
    <w:p>
      <w:r>
        <w:t>IT: GE_GERICHTE DCBA/58/2023 del 20 marzo 2023</w:t>
      </w:r>
    </w:p>
    <w:p>
      <w:pPr>
        <w:pStyle w:val="Heading2"/>
      </w:pPr>
      <w:r>
        <w:t>Erwägungen</w:t>
      </w:r>
    </w:p>
    <w:p>
      <w:r>
        <w:rPr>
          <w:b/>
        </w:rPr>
        <w:t>E. 1</w:t>
      </w:r>
    </w:p>
    <w:p>
      <w:r>
        <w:t>La CBA exerce les compétences dévolues à l’autorité de surveillance des avocat.e.s par la loi fédérale sur la libre circulation des avocats du 23 juin 2000 (LLCA), ainsi que les compétences qui lui sont attribuées par la loi sur la profession d’avocat du 26 avril 2002 ([LPAv - E 6 10] art. 14 LLCA ; 14 LPAv). En particulier, elle tient le Registre cantonal des avocats prévu à l'art. 5 LLCA (art. 21 LPAv) et statue sur tout manquement aux devoirs professionnels (art. 43 al. 1 LPAv). Si un tel manquement est constaté, elle peut, suivant la gravité du cas, prononcer les sanctions énoncées à l'art. 17 LLCA.</w:t>
      </w:r>
    </w:p>
    <w:p>
      <w:r>
        <w:rPr>
          <w:b/>
        </w:rPr>
        <w:t>E. 2</w:t>
      </w:r>
    </w:p>
    <w:p>
      <w:r>
        <w:t>La procédure devant la CBA est régie par la loi sur la procédure administrative du 12 septembre 1985 (LPA-GE - E 5 10).</w:t>
      </w:r>
    </w:p>
    <w:p>
      <w:r>
        <w:rPr>
          <w:b/>
        </w:rPr>
        <w:t>E. 3</w:t>
      </w:r>
    </w:p>
    <w:p>
      <w:r>
        <w:t>Selon l’art. 12 LLCA, l’avocat.e exerce sa profession avec soin et diligence (let. a), exerce son activité professionnelle en toute indépendance (let. b) et évite tout conflit entre les intérêts de son.sa client.e et ceux des personnes avec lesquelles il.elle est en relation sur le plan professionnel ou privé (let. c).</w:t>
      </w:r>
    </w:p>
    <w:p>
      <w:r>
        <w:rPr>
          <w:b/>
        </w:rPr>
        <w:t>E. 4</w:t>
      </w:r>
    </w:p>
    <w:p>
      <w:r>
        <w:t>En vertu de l’art. 13 LLCA, l'avocat.e est soumis.e au secret professionnel pour toutes les affaires qui lui sont confiées par ses client.e.s dans l'exercice de sa profession. Cette obligation n'est pas limitée dans le temps et est applicable à l'égard des tiers. Le fait d'être délié du secret professionnel n'oblige pas l'avocat.e à divulguer des faits qui lui ont</w:t>
      </w:r>
    </w:p>
    <w:p>
      <w:r>
        <w:t>5/9</w:t>
      </w:r>
    </w:p>
    <w:p>
      <w:r>
        <w:t>Commission du barreau - Tél : +41 22 327 62 42</w:t>
      </w:r>
    </w:p>
    <w:p>
      <w:r>
        <w:t>été confiés. Cette obligation est rappelée à l’art. 12 al. 1 LPAv. Elle est susceptible de sanctions disciplinaires et sa violation est sanctionnée pénalement par l’art. 321 CP.</w:t>
      </w:r>
    </w:p>
    <w:p>
      <w:r>
        <w:rPr>
          <w:b/>
        </w:rPr>
        <w:t>E. 5</w:t>
      </w:r>
    </w:p>
    <w:p>
      <w:r>
        <w:t>La LLCA ne détermine pas quelle est l’autorité compétente pour empêcher un.e avocat.e de représenter une partie dans le cadre d’une procédure civile, administrative ou pénale, mais renvoie la procédure aux cantons (art. 34 al. 1 LLCA, ATF 1A_223/2002 du 18 mars 2003 consid. 3.2).</w:t>
      </w:r>
    </w:p>
    <w:p>
      <w:r>
        <w:rPr>
          <w:b/>
        </w:rPr>
        <w:t>E. 6</w:t>
      </w:r>
    </w:p>
    <w:p>
      <w:r>
        <w:t>Dans un arrêt du 14 mars 2017 (ATA/283/2017), portant sur la capacité de postuler d'un avocat dans une procédure pénale, la Chambre administrative de la Cour de Justice a reconnu la compétence pour déterminer s'il y a lieu, ou non, d'interdire à un avocat de postuler en raison d'un conflit d'intérêts, lorsqu'une procédure pénale est ouverte, à la seule direction de la procédure au sens de l'art. 61 CPP, en raison du rôle de contrôle de la légalité qui lui est dévolu par l'art. 62 al. 1 CPP.</w:t>
      </w:r>
    </w:p>
    <w:p>
      <w:r>
        <w:rPr>
          <w:b/>
        </w:rPr>
        <w:t>E. 7</w:t>
      </w:r>
    </w:p>
    <w:p>
      <w:r>
        <w:t>En ce qui concerne la procédure civile, selon le Tribunal fédéral, la décision sur la capacité de postuler entre dans la catégorie des décisions relatives à la conduite du procès et elle est une des conditions de recevabilité de la demande (art. 59 et 124 al. 1 CPC, ATF 5A_485/2020). Seul le tribunal civil compétent pour trancher le fond de la cause est donc compétent pour se prononcer sur la capacité de postuler.</w:t>
      </w:r>
    </w:p>
    <w:p>
      <w:r>
        <w:rPr>
          <w:b/>
        </w:rPr>
        <w:t>E. 8</w:t>
      </w:r>
    </w:p>
    <w:p>
      <w:r>
        <w:t>Par conséquent, la CBA n’est donc pas compétente pour statuer sur la capacité de postuler de Me A______ dans le cadre des procédures civiles et pénales actuellement pendantes et dirigées contre Monsieur B______.</w:t>
      </w:r>
    </w:p>
    <w:p>
      <w:r>
        <w:rPr>
          <w:b/>
        </w:rPr>
        <w:t>E. 9</w:t>
      </w:r>
    </w:p>
    <w:p>
      <w:r>
        <w:t>L’interdiction de plaider est une des conséquences du constat de l’existence d’un conflit d’intérêts. L’exclusion de l’avocat.e des débats pour ce motif n’est que la résultante du défaut de capacité de postuler et ne constitue pas une mesure disciplinaire. Une interdiction de représentation n’empêche nullement le prononcé d’une sanction disciplinaire ultérieure. (ATF 138 II 162)</w:t>
      </w:r>
    </w:p>
    <w:p>
      <w:r>
        <w:rPr>
          <w:b/>
        </w:rPr>
        <w:t>E. 10</w:t>
      </w:r>
    </w:p>
    <w:p>
      <w:r>
        <w:t>La CBA conserve ainsi la compétence de constater l’existence d’un conflit d’intérêts en application de l’art. 12 let. c LLCA. Il appartient, en effet, à la CBA, en sa qualité d’autorité de surveillance, de constater l’existence, ou non, d’une violation des règles professionnelles, parmi lesquelles celle de l’interdiction de conflits d’intérêts et de prononcer, le cas échéant, les sanctions prévues à l’art. 17 LLCA.</w:t>
      </w:r>
    </w:p>
    <w:p>
      <w:r>
        <w:rPr>
          <w:b/>
        </w:rPr>
        <w:t>E. 11</w:t>
      </w:r>
    </w:p>
    <w:p>
      <w:r>
        <w:t>Il en résulte que la CBA est compétente pour constater si Me A______ a contrevenu à l’interdiction du conflit d’intérêts.</w:t>
      </w:r>
    </w:p>
    <w:p>
      <w:r>
        <w:rPr>
          <w:b/>
        </w:rPr>
        <w:t>E. 12</w:t>
      </w:r>
    </w:p>
    <w:p>
      <w:r>
        <w:t>L'obligation énoncée à l’art. 12 let. c LLCA de renoncer à représenter un.e mandant.e en cas de conflit d'intérêts est une règle cardinale de la profession d'avocat.e (ATF 141 IV 257 consid. 2.1, ATF 138 II 162 consid. 2.4, ATF 135 II 145 consid. 9.1, ATF 5A_967/2014 du 27 mars 2015 consid. 3.3.2, ATF 2C_889/2008 du 21 juillet 2009 consid. 3.1.3). Elle découle de l’obligation d’indépendance ancrée à l’art. 12 let. b LLCA, de l’obligation de fidélité et du devoir de diligence de l’avocat.e (ATF 2A_293/2003 du 9 mars 2004 consid. 2, ATF 1A_223/2002 du 18 mars 2003 consid. 5.2, BOHNET/MARTENET, droit de la profession d’avocat, 2009, p. 576 n. 1395). Elle est en lien avec la clause générale de l'art. 12 let. a LLCA (ATF 134 II 108 consid. 3, ATF 5A_967/2014 consid. 3.3.2, ATF 2C_688/2009 du 25 mars 2010 consid. 3.1). Elle permet également à l’avocat.e de sauvegarder le secret professionnel auquel il.elle est astreint.e (ATF 2A_310/2006, consid. 6.2, BOHNET/MARTENET, op. cit., p. 576 n. 1395).</w:t>
      </w:r>
    </w:p>
    <w:p>
      <w:r>
        <w:t>6/9</w:t>
      </w:r>
    </w:p>
    <w:p>
      <w:r>
        <w:t>Commission du barreau - Tél : +41 22 327 62 42</w:t>
      </w:r>
    </w:p>
    <w:p>
      <w:r>
        <w:rPr>
          <w:b/>
        </w:rPr>
        <w:t>E. 13</w:t>
      </w:r>
    </w:p>
    <w:p>
      <w:r>
        <w:t>Cette obligation a été reprise aux art. 11 à 13 du Code suisse de Déontologie du 10 juin 2005 (ci-après CSD) (GRODECKI/JEANDIN, Approche critique de l’interdiction de postuler chez l’avocat aux prises avec un conflit d’intérêts in SJ 2015 II 107, 109) ainsi que dans les directives professionnelles destinées aux avocats européens édictées par l’International Bar Association (CHAPPUIS/GURTNER, La profession d’avocat, 2ème éd. 2021, n° 529).</w:t>
      </w:r>
    </w:p>
    <w:p>
      <w:r>
        <w:rPr>
          <w:b/>
        </w:rPr>
        <w:t>E. 14</w:t>
      </w:r>
    </w:p>
    <w:p>
      <w:r>
        <w:t>Le conflit d’intérêts peut survenir dans le cas de l’exercice simultané de plusieurs mandats (double représentation), mais aussi de l’exercice de mandats successifs en faveur de mandants différents (mandats opposés), voire en raison de l’existence d’intérêts propres de l’avocat (GRODECKI/JEANDIN, op. cit., p. 113, CHAPPUIS/GURTNER, op. cit., p. 144).</w:t>
      </w:r>
    </w:p>
    <w:p>
      <w:r>
        <w:rPr>
          <w:b/>
        </w:rPr>
        <w:t>E. 15</w:t>
      </w:r>
    </w:p>
    <w:p>
      <w:r>
        <w:t>Le Tribunal fédéral a souvent rappelé que l'avocat a, notamment, le devoir d'éviter la double représentation, c'est-à-dire le cas où il serait amené à défendre les intérêts opposés de deux parties à la fois (ATF 135 II 145 consid. 9.1 p. 154 ; 134 II 108 consid. 3 p. 110 et les références citées), car il n'est alors plus en mesure de respecter pleinement son obligation de fidélité et son devoir de diligence envers chacun de ses clients (Arrêt du Tribunal fédéral 2C_688/2009 du 25 mars 2010, in SJ 2010 I p. 433). Le consentement des clients à une pluralité de représentations n'y change rien, car l'interdiction y relative est absolue (ATF 1P.227/2005 du 13 mai 2005, ATF 2A.560/2004 du 1er février 2005).</w:t>
      </w:r>
    </w:p>
    <w:p>
      <w:r>
        <w:rPr>
          <w:b/>
        </w:rPr>
        <w:t>E. 16</w:t>
      </w:r>
    </w:p>
    <w:p>
      <w:r>
        <w:t>La double représentation peut également intervenir dans le cas où les parties sont certes représentées par des avocats distincts, mais exerçant au sein de la même étude, en qualité d'associés. L’interdiction des conflits d’intérêts ne saurait se limiter à la personne même de l’avocat, mais s’étend à l’ensemble de l’étude ou du groupement auquel il appartient. (ATF 5A_967/2014 du 27 mars 2015)</w:t>
      </w:r>
    </w:p>
    <w:p>
      <w:r>
        <w:rPr>
          <w:b/>
        </w:rPr>
        <w:t>E. 17</w:t>
      </w:r>
    </w:p>
    <w:p>
      <w:r>
        <w:t>Dans l’hypothèse de mandats opposés, il y a violation de l'art. 12 let. c LLCA lorsqu'il existe un lien entre deux procédures et que l'avocat.e représente dans celles-ci des client.e.s dont les intérêts ne sont pas identiques. Il importe peu en principe que la première des procédures soit déjà terminée ou encore pendante, dès lors que le devoir de fidélité de l'avocat.e n'est pas limité dans le temps (ATF 134 II 108 consid. 3).</w:t>
      </w:r>
    </w:p>
    <w:p>
      <w:r>
        <w:rPr>
          <w:b/>
        </w:rPr>
        <w:t>E. 18</w:t>
      </w:r>
    </w:p>
    <w:p>
      <w:r>
        <w:t>Le conflit d'intérêts est réalisé au sens de l'art. 12 let. c LLCA dès que survient la possibilité d'utiliser, consciemment ou non, dans un nouveau mandat les connaissances acquises antérieurement sous couvert du secret professionnel, dans l'exercice d'un premier mandat. Il faut éviter toute situation potentiellement susceptible d'entraîner un tel conflit d'intérêts. Un risque purement abstrait ne suffit pas et le risque de conflit d'intérêts doit être concret (ATF du 27 mars 2015 consid. 3.3.2, ATF 2C_885/2010 du 22 février 2011 consid. 3.1). Plus précisément, il s’agit de déterminer si, en présence d'éléments concrets qui révèlent un risque de conflit d'intérêts, ce risque est concrètement potentiel sans qu’il importe qu’il se soit réalisé ou non (ATF 5A_597/2014 du 27 mars 2014 consid. 3.3.2, ATF 2C_885/2010 précité consid. 3.3, ATF 2C_688/2009 du 25 mars 2010 consid. 3.1). S’il est décisif d'établir si les connaissances acquises dans le cadre d'un mandat d’avocat.e peuvent s'avérer préjudiciables à l'exercice d'un autre mandat, peu importe de savoir, sur le plan procédural, quelle partie doit apporter la preuve des faits pertinents, l’art. 8 du CC n’entrant pas en considération dans le cadre de cet examen (ATF 2C_885/2010, consid. 3.3 in fine).</w:t>
      </w:r>
    </w:p>
    <w:p>
      <w:r>
        <w:rPr>
          <w:b/>
        </w:rPr>
        <w:t>E. 19</w:t>
      </w:r>
    </w:p>
    <w:p>
      <w:r>
        <w:t>Il n’existe pas d’interdiction de principe d’agir contre un.e ancien.ne client.e. Toutefois, l’interdiction d’utiliser les informations obtenues à l’occasion du précédent mandat peut impliquer le devoir de renoncer à un dossier contre un.e ancien.ne mandant.e. Selon le</w:t>
      </w:r>
    </w:p>
    <w:p>
      <w:r>
        <w:t>7/9</w:t>
      </w:r>
    </w:p>
    <w:p>
      <w:r>
        <w:t>Commission du barreau - Tél : +41 22 327 62 42</w:t>
      </w:r>
    </w:p>
    <w:p>
      <w:r>
        <w:t>Tribunal fédéral, l’obligation de secret et le devoir de fidélité interdisent à l'avocat.e d'accepter un mandat contre un.e ancien.ne client.e, lorsqu'il existe une relation étroite entre les deux mandats. L'interdiction de plaider contre un.e ancien.ne client.e prévaut dès l'instant où la possibilité existe que des connaissances acquises à la faveur de l'ancien mandat puissent être utilisées dans l'exercice du nouveau. Cette situation légitime une limitation du droit au libre choix de l'avocat.e et à la liberté d'exercice de la profession (ATF 1B_7/2009 du 16 mars 2009, consid. 5.5, SJ 2009 I 386, 388 consid. 5.5). Selon l’art. 13 CDS, l’avocat.e n’accepte pas un nouveau mandat si le secret des informations données par un.e ancien.ne client.e risque d’être violé ou lorsque la connaissance des affaires d’un.e précédent.e client.e pourrait porter préjudice à ce.cette dernier.e. Il convient de déterminer si les connaissances acquises par rapport à l’ancien mandat sont nécessaires ou utiles dans le cadre du nouveau mandat. Il faut être particulièrement attentif lorsque l’avocat.e occupait la position d’un.e avocat.e de confiance (BOHNET/MARTENET, op. cit., p. 589 n. 1439 et ss, ATA/283/2017 du 14 mars 2017).</w:t>
      </w:r>
    </w:p>
    <w:p>
      <w:r>
        <w:rPr>
          <w:b/>
        </w:rPr>
        <w:t>E. 20</w:t>
      </w:r>
    </w:p>
    <w:p>
      <w:r>
        <w:t>L’existence d’un conflit d’intérêts peut exposer l’avocat.e au prononcé de sanctions disciplinaires en application de l’art 17 LLCA. De jurisprudence constante, la CBA ne sanctionne disciplinairement un.e avocat.e pour conflit d’intérêts que lorsque, au regard de circonstances aussi claires qu’incontestables dénotant l’existence d’un conflit d’intérêts, l’avocat.e visé.e s’obstine à poursuivre ses mandats et à faire ainsi abstraction de l’existence reconnue ou reconnaissable d’un tel conflit d’intérêts.</w:t>
      </w:r>
    </w:p>
    <w:p>
      <w:r>
        <w:rPr>
          <w:b/>
        </w:rPr>
        <w:t>E. 21</w:t>
      </w:r>
    </w:p>
    <w:p>
      <w:r>
        <w:t>Au vu des faits dénoncés et de l’absence de pièces probantes supplémentaires la CBA ignore si le conflit d’intérêts évoqué a été soulevé devant les instances pénales ou civiles compétentes, tout comme elle ignore à quel stade se trouvent toutes ces procédures.</w:t>
      </w:r>
    </w:p>
    <w:p>
      <w:r>
        <w:rPr>
          <w:b/>
        </w:rPr>
        <w:t>E. 22</w:t>
      </w:r>
    </w:p>
    <w:p>
      <w:r>
        <w:t>La CBA ignore aussi si Me A______ a exercé une activité pour le compte de Monsieur B______, autre que celle d’être administrateur de la société C______ et partenaire avec lui d’une SNC.</w:t>
      </w:r>
    </w:p>
    <w:p>
      <w:r>
        <w:rPr>
          <w:b/>
        </w:rPr>
        <w:t>E. 23</w:t>
      </w:r>
    </w:p>
    <w:p>
      <w:r>
        <w:t>En effet, l’activité de l’avocat.e en qualité d’administrateur ou d’administratrice est soustraite à l’autorité de la LLCA. (VALTICOS/REISER/CHAPPUIS/BOHNET [éd.], Commentaire Romand LLCA, 2e éd. 2022, n. 13 ad. art. 12 LLCA). Ainsi, si l’avocat.e remplit la fonction d’administrateur.trice sans se prévaloir de son titre professionnel, il.elle n’est pas soumis.e aux règles professionnelles dans ce cadre. L’avocat.e administrateur.trice d’une société anonyme poursuivi.e pénalement ne peut pas être sanctionné.e disciplinairement lorsque ses manquements n’interviennent pas dans l’exercice de la profession. Néanmoins une condamnation peut entraîner une radiation si elle porte sur des faits incompatibles avec l’exercice de la profession. (art. 8 al. 1 let. b et 9 LLCA, BOHNET/MARTENET, op. cit., N° 351 à 3513, p. 1377)</w:t>
      </w:r>
    </w:p>
    <w:p>
      <w:r>
        <w:rPr>
          <w:b/>
        </w:rPr>
        <w:t>E. 24</w:t>
      </w:r>
    </w:p>
    <w:p>
      <w:r>
        <w:t>A ce stade la CBA ne dispose pas d’éléments suffisants pour retenir que Me A______ aurait agi en qualité d’avocat pour le compte des sociétés susmentionnées, ni qu’il se serait prévalu de son titre d’avocat dans ce contexte.</w:t>
      </w:r>
    </w:p>
    <w:p>
      <w:r>
        <w:rPr>
          <w:b/>
        </w:rPr>
        <w:t>E. 25</w:t>
      </w:r>
    </w:p>
    <w:p>
      <w:r>
        <w:t>Il n’est pas démontré, à ce stade, que par le biais de ses activités au sein des sociétés susmentionnées, Me A______ aurait acquis des connaissances couvertes par le secret professionnel.</w:t>
      </w:r>
    </w:p>
    <w:p>
      <w:r>
        <w:rPr>
          <w:b/>
        </w:rPr>
        <w:t>E. 26</w:t>
      </w:r>
    </w:p>
    <w:p>
      <w:r>
        <w:t>Certes la démarche consistant à mettre en demeure une société dont on a été l’administrateur peut paraître peu élégante, mais, à ce stade, un conflit d’intérêt concret ne peut être retenu au vu de ce qui précède.</w:t>
      </w:r>
    </w:p>
    <w:p>
      <w:r>
        <w:t>8/9</w:t>
      </w:r>
    </w:p>
    <w:p>
      <w:r>
        <w:t>Commission du barreau - Tél : +41 22 327 62 42</w:t>
      </w:r>
    </w:p>
    <w:p>
      <w:r>
        <w:rPr>
          <w:b/>
        </w:rPr>
        <w:t>E. 27</w:t>
      </w:r>
    </w:p>
    <w:p>
      <w:r>
        <w:t>Dans ces circonstances aucune violation de l’art. 12 let. c LLCA ne peut être retenue. Il va de soi que si, à l’avenir, de nouveaux éléments devaient être portés à la connaissance de la CBA ou si un conflit d’intérêts devait être retenu par les juridictions pénales ou civiles, la question d’une éventuelle sanction pourra être examinée.</w:t>
      </w:r>
    </w:p>
    <w:p>
      <w:r>
        <w:rPr>
          <w:b/>
        </w:rPr>
        <w:t>E. 28</w:t>
      </w:r>
    </w:p>
    <w:p>
      <w:r>
        <w:t>Aucun émolument ni frais de procédure ne seront mis à la charge des parties (art. 9 al. 7 du règlement d’application de la loi sur la profession d’avocat du 7 décembre 2010 - RPAv – E 6 10.01).</w:t>
      </w:r>
    </w:p>
    <w:p>
      <w:r>
        <w:t>* * * * *</w:t>
      </w:r>
    </w:p>
    <w:p>
      <w:r>
        <w:t>9/9</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