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DCBA/256/2022 vom 14. November 2022</w:t>
      </w:r>
    </w:p>
    <w:p>
      <w:r>
        <w:t>GE Cour de justice, 2022-11-14, FR</w:t>
      </w:r>
    </w:p>
    <w:p>
      <w:r>
        <w:rPr>
          <w:b/>
        </w:rPr>
        <w:t xml:space="preserve">Quelle: </w:t>
      </w:r>
      <w:r>
        <w:t>https://mcp.opencaselaw.ch/entscheid/ge_gerichte_DCBA_256_2022</w:t>
      </w:r>
    </w:p>
    <w:p>
      <w:r>
        <w:t>FR: GE_GERICHTE DCBA/256/2022 du 14 novembre 2022</w:t>
      </w:r>
    </w:p>
    <w:p>
      <w:r>
        <w:t>IT: GE_GERICHTE DCBA/256/2022 del 14 novembre 2022</w:t>
      </w:r>
    </w:p>
    <w:p>
      <w:pPr>
        <w:pStyle w:val="Heading2"/>
      </w:pPr>
      <w:r>
        <w:t>Erwägungen</w:t>
      </w:r>
    </w:p>
    <w:p>
      <w:r>
        <w:rPr>
          <w:b/>
        </w:rPr>
        <w:t>E. 1</w:t>
      </w:r>
    </w:p>
    <w:p>
      <w:r>
        <w:t>En vertu de l’art. 12 de la loi fédérale sur la libre circulation des avocats du 23 juin 2000 (LLCA - RS 935.61) l'avocat doit exercer sa profession avec soin et diligence (let. a), en toute indépendance, en son nom personnel et sous sa propre responsabilité (let. b). Il évite tout conflit entre les intérêts de son client et ceux des personnes avec lesquelles il est en relation sur le plan professionnel ou privé (let. c).</w:t>
      </w:r>
    </w:p>
    <w:p>
      <w:r>
        <w:rPr>
          <w:b/>
        </w:rPr>
        <w:t>E. 2</w:t>
      </w:r>
    </w:p>
    <w:p>
      <w:r>
        <w:t>L'obligation de renoncer à représenter un mandant en cas de conflit d'intérêts est une règle cardinale de la profession d'avocat (arrêt 2C_889/2008 du 21 juillet 2009 consid. 3.1.3).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1A.223/2002 du 18 mars 2003 consid. 5.5).</w:t>
      </w:r>
    </w:p>
    <w:p>
      <w:r>
        <w:rPr>
          <w:b/>
        </w:rPr>
        <w:t>E. 3</w:t>
      </w:r>
    </w:p>
    <w:p>
      <w:r>
        <w:t>Le Tribunal fédéral a jugé que l'interdiction de postuler dans un cas concret ne relève en principe pas du droit disciplinaire, mais du contrôle du pouvoir de postuler de l'avocat (ATF 138 II 162). En procédure pénale, il appartient à l'autorité en charge de la procédure de statuer d'office et en tout temps sur la capacité de postuler d'un mandataire professionnel (ATF 141 IV 257 consid. 2.2). Par un arrêt du 25 mars 2021, le Tribunal fédéral a considéré que, dans une procédure civile pendante, l'autorité qui doit statuer sur la capacité de postuler de l'avocat est le tribunal compétent sur le fond de la cause ou, sur délégation, un membre de ce même tribunal, à l'exclusion de l'autorité de surveillance (arrêt du Tribunal fédéral 5A_485/2020).</w:t>
      </w:r>
    </w:p>
    <w:p>
      <w:r>
        <w:rPr>
          <w:b/>
        </w:rPr>
        <w:t>E. 4</w:t>
      </w:r>
    </w:p>
    <w:p>
      <w:r>
        <w:t>Il en résulte que la Commission du barreau reste compétente pour statuer sur la question de la capacité de postuler de l'avocat en procédure administrative ainsi qu'en dehors de toute procédure et en matière disciplinaire.</w:t>
      </w:r>
    </w:p>
    <w:p>
      <w:r>
        <w:rPr>
          <w:b/>
        </w:rPr>
        <w:t>E. 5</w:t>
      </w:r>
    </w:p>
    <w:p>
      <w:r>
        <w:t>Le Tribunal fédéral a résumé sa jurisprudence relative à l’interdiction des conflits d’intérêts de l’art. 12 let. c LLCA dans un ATF 145 IV 218 du 14 mars 2019. Cette règle est en lien avec la clause générale de l'art. 12 let. a LLCA - selon laquelle l'avocat exerce sa profession avec soin et diligence -, avec l'obligation d'indépendance figurant à l'art. 12 let. b LLCA (ATF 141 IV 257 consid. 2.1 p. 260 ; ATF 134 II 108 consid. 3</w:t>
      </w:r>
    </w:p>
    <w:p>
      <w:r>
        <w:t>5/8</w:t>
      </w:r>
    </w:p>
    <w:p>
      <w:r>
        <w:t>Commission du barreau - Tél : +41 22 327 62 42</w:t>
      </w:r>
    </w:p>
    <w:p>
      <w:r>
        <w:t>p. 110), ainsi qu'avec l'art. 13 LLCA relatif au secret professionnel (arrêt 2A.310/2006 du 21 novembre 2006 consid. 6.2 ; BENOÎT CHAPPUIS, La profession d'avocat, t. I [ci-après : La profession d'avocat, t. I], 2e éd. 2016, ad VII/A/1/c p. 114 ss ; le même, Le consentement du client et les chinese walls [ci-après : Le consentement], SJZ 111/2015 n. 16/17 p. 409, ad III/A et B p. 411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p. 260 et les références citées ; arrêt 2C_898/2018 du 30 janvier 2019 consid. 5.2).</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p. 260 ; VALTICOS, REISER, CHAPPUIS, BOHNET, Loi sur les avocats, Commentaire Romand, 2ème éd, Helbing Lichtenhahn, ad art. 12 let. c LLCA, p. 168).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(arrêt 2A.535/2005 du 17 février 2006 consid. 3.2 ; GRODECKI/JEANDIN, Approche critique de l'interdiction de postuler chez l'avocat aux prises avec un conflit d'intérêts, SJ 2015 II p. 107, n. V/b p. 114 ; WALTER FELLMANN, in Kommentar zum Anwaltsgesetz [ci-après : Kommentar], Fellmann/Zindel [éd.], 2e éd. 2011, nos 109 s. ad art. 12 LLCA ; BOHNET/MARTENET, Droit de la profession d'avocat, 2009, n. 1440 p. 589 ; MICHEL VALTICOS, in Commentaire romand, Loi sur les avocats, 2009, n° 175 ad art. 12 LLCA). Le devoir de fidélité exclut a fortiori que l'avocat procède contre un client actuel (ATF 134 II 108 consid. 5.2 p. 115).</w:t>
      </w:r>
    </w:p>
    <w:p>
      <w:r>
        <w:t>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(arrêts 1B_59/2018 du 31 mai 2018 consid. 2.4 ; 1B_20/2017 du 23 février 2017 consid. 3.1). Dès que le conflit d'intérêts survient, l'avocat doit mettre fin à la représentation (ATF 135 II 145 consid. 9.1 p. 154 s. ; ATF 134 II 108 consid. 4.2.1 p. 112).</w:t>
      </w:r>
    </w:p>
    <w:p>
      <w:r>
        <w:t>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p. 110).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(arrêts 2C_898/2018 du 30 janvier 2019 consid. 5.2 ; 1B_20/2017 du 23 février 2017 consid. 3.1).</w:t>
      </w:r>
    </w:p>
    <w:p>
      <w:r>
        <w:t>6/8</w:t>
      </w:r>
    </w:p>
    <w:p>
      <w:r>
        <w:t>Commission du barreau - Tél : +41 22 327 62 42</w:t>
      </w:r>
    </w:p>
    <w:p>
      <w:r>
        <w:t>L'incapacité de représentation affectant un avocat rejaillit sur ses associés (ATF 135 II 145 consid. 9.1 p. 154). Le problème de la double représentation peut donc survenir quand les parties sont représentées par des avocats distincts, mais pratiquant dans la même étude, en qualité d'associés (arrêt 2C_45/2016 du 11 juillet 2016 consid. 2.2). L'interdiction des conflits d'intérêts ne se limite ainsi pas à la personne même de l'avocat, mais s'étend à l'ensemble de l'étude ou du groupement auquel il appartient (arrêt 5A_967/2014 du 27 mars 2015 consid. 3.3.2), position que partage la doctrine dans son ensemble (WALTER FELLMANN, Anwaltsrecht [ci-après : Anwaltsrecht], 2e éd. 2017, n. 356 p. 155 ; CHAPPUIS, La profession d'avocat, t. I, op. cit., ad VII/B/1 p. 117 et VII/B/3/d p. 121 ; BRUNNER/HENN/KRIESI, Anwaltsrecht, 2015, n. 163 p. 128; GRODECKI/JEANDIN, op. cit., n. IV p. 112 ; FRANÇOIS BOHNET, Droit des professions judiciaires, avocat, notaire, juge, 3e éd. 2014, n. 50 p. 58 ; FELLMANN, Kommentar, op. cit., n° 88 ad art. 12 LLCA ; VALTICOS, op. cit., n° 156 ad art. 12 LLCA ; BOHNET/MARTENET, op. cit., n. 1435 p. 587 s. ; KASPAR BGE 145 IV 218 S. 224 SCHILLER, Schweizerisches Anwaltsrecht, 2009, n. 895 p. 222).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w:t>
      </w:r>
    </w:p>
    <w:p>
      <w:r>
        <w:rPr>
          <w:b/>
        </w:rPr>
        <w:t>E. 6</w:t>
      </w:r>
    </w:p>
    <w:p>
      <w:r>
        <w:t>Dans le cas d’espèce, il semble que dans un premier temps, Me B______ se soit constitué dans une procédure pénale à la défense des intérêts d’une partie plaignante, victime d’une intoxication au Foyer G______. Le Conseil d’Etat indique (sans produire de pièce) que Me A______ se serait également constitué dans cette procédure aux côtés de son associé, ce que ce dernier conteste. Le Conseil d’Etat a précisé, sans être contesté sur ce point, que Me A______ est intervenu dans cette procédure à tout le moins à deux reprises (notamment en février 2022), en cosignant des courriers adressés au Ministère public. Il est donc permis de retenir que Me A______ a connaissance de cette procédure pénale et de son contenu.</w:t>
      </w:r>
    </w:p>
    <w:p>
      <w:r>
        <w:rPr>
          <w:b/>
        </w:rPr>
        <w:t>E. 7</w:t>
      </w:r>
    </w:p>
    <w:p>
      <w:r>
        <w:t>Ce n’est que postérieurement, à une date inconnue de la Commission, que Me A______ s’est constitué à la défense des intérêts de Madame D______, dans la procédure administrative qui l’oppose à l’Etat. Les contextes factuels de ces deux procédures sont incontestablement liés, ce que Me A______ a sans doute constaté au moment de sa constitution déjà. A supposer qu’un doute pouvait alors exister sur le risque d’un conflit d’intérêts, tel n’était déjà plus le cas lorsque Madame D______ a été convoquée en qualité de PADR dans la procédure pénale susvisée. Ce conflit tient à ce que l'action des parties plaignantes, qui vise à identifier des dysfonctionnements au foyer et donc à en identifier les responsables, pourrait être affectée par la préoccupation, pour leurs avocats, d'éviter de nuire à la cliente de leur associé, risque aggravé par le fait que toutes ces procédures sont actuellement pendantes. Me A______ et sa mandante l’ont manifestement réalisé puisque dans les deux procédures pénales liées aux Foyer G______, cette dernière est représentée par un avocat d’une autre étude. Cette manœuvre, qui a pour effet que le conflit d'intérêt n'était pas immédiatement décelable par le Ministère public, est artificielle et n'amoindrit en rien le conflit d'intérêts, qui est concret. En particulier, on ne saurait ignorer que l’une des causes qui oppose Madame D______ à l’Etat de Genève est liée à la gestion du Foyer G______. Si les procédures en cours devaient aboutir à une reconnaissance de la responsabilité de l’Etat, celui-ci pourrait se retourner contre le ou les fonctionnaires responsables, dont Madame D______. Même si la perspective d’une telle action est lointaine à ce stade, elle n’en reste pas moins possible et même déjà envisagée par l’Etat de Genève. Cette circonstance est clairement propre à constituer un risque de conflit d’intérêts suffisamment concret entre la défense des parties plaignantes, lesquelles, comme déjà dit, doivent pouvoir obtenir que toutes les responsabilités</w:t>
      </w:r>
    </w:p>
    <w:p>
      <w:r>
        <w:t>7/8</w:t>
      </w:r>
    </w:p>
    <w:p>
      <w:r>
        <w:t>Commission du barreau - Tél : +41 22 327 62 42</w:t>
      </w:r>
    </w:p>
    <w:p>
      <w:r>
        <w:t>soient envisagées, y compris celles de la cliente de Me A______, et la défense de l'intéressée, pour qu’il soit enjoint à Me A______ de cesser d’occuper dans la défense des intérêts de Madame D______.</w:t>
      </w:r>
    </w:p>
    <w:p>
      <w:r>
        <w:rPr>
          <w:b/>
        </w:rPr>
        <w:t>E. 8</w:t>
      </w:r>
    </w:p>
    <w:p>
      <w:r>
        <w:t>Il sera en outre observé, même si cela ne relève pas du conflit d'intérêts, dans la mesure où il n'y en a à l'évidence pas entre la défense de la cliente de Me A______ et celle de l'Etat de Genève, que la situation permet notamment à Me A______ l’accès à une procédure pénale dans laquelle sa cliente a été entendue comme PADR, ce qui ne lui était pas possible en cette qualité. Les informations et pièces que cette procédure pénale contient pourraient être directement liées à la procédure administrative qui oppose Madame D______ à l’Etat. En vertu de son obligation de diligence et de fidélité envers sa mandante, Me A______ devrait en faire usage, consciemment ou non, de sorte que sa mandante se verrait avantagée du seul fait de ces représentations parallèles.</w:t>
      </w:r>
    </w:p>
    <w:p>
      <w:r>
        <w:rPr>
          <w:b/>
        </w:rPr>
        <w:t>E. 9</w:t>
      </w:r>
    </w:p>
    <w:p>
      <w:r>
        <w:t>En revanche, en l’état du dossier tel qu’exposé à la Commission du barreau, il n’apparaît pas que les intérêts de Madame D______ et de Mme I______ soient en conflit. Il n’apparaît pas davantage que les intérêts des parties plaignantes défendues par Me B______ puissent être en conflit avec ceux de Madame I______. Il en résulte que Me A______ peut continuer à défendre les intérêts de cette dernière dans la procédure qui l’oppose à l’Etat employeur.</w:t>
      </w:r>
    </w:p>
    <w:p>
      <w:r>
        <w:rPr>
          <w:b/>
        </w:rPr>
        <w:t>E. 10</w:t>
      </w:r>
    </w:p>
    <w:p>
      <w:r>
        <w:t>Quant aux conséquences du conflit d’intérêts constaté supra sur les mandats pénaux connexes gérés par les associés de Me A______, il appartient à l’autorité pénale compétente de se prononcer, conformément à la jurisprudence du Tribunal fédéral citée ci-dessus.</w:t>
      </w:r>
    </w:p>
    <w:p>
      <w:r>
        <w:rPr>
          <w:b/>
        </w:rPr>
        <w:t>E. 11</w:t>
      </w:r>
    </w:p>
    <w:p>
      <w:r>
        <w:t>La présente décision est déclarée exécutoire nonobstant recours.</w:t>
      </w:r>
    </w:p>
    <w:p>
      <w:r>
        <w:rPr>
          <w:b/>
        </w:rPr>
        <w:t>E. 12</w:t>
      </w:r>
    </w:p>
    <w:p>
      <w:r>
        <w:t>Un émolument de CHF 600.- sera mis à charge de Me A______ en application de l'art. 9 al. 6 du règlement d'application de la loi sur la profession d'avocat du 7 décembre 2010 (RPAv - E 6 10.01).</w:t>
      </w:r>
    </w:p>
    <w:p>
      <w:r>
        <w:t>* * * * *</w:t>
      </w:r>
    </w:p>
    <w:p>
      <w:r>
        <w:t>8/8</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