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DCBA/196/2022 vom 5. September 2022</w:t>
      </w:r>
    </w:p>
    <w:p>
      <w:r>
        <w:t>GE Cour de justice, 2022-09-05, FR</w:t>
      </w:r>
    </w:p>
    <w:p>
      <w:r>
        <w:rPr>
          <w:b/>
        </w:rPr>
        <w:t xml:space="preserve">Quelle: </w:t>
      </w:r>
      <w:r>
        <w:t>https://mcp.opencaselaw.ch/entscheid/ge_gerichte_DCBA_196_2022</w:t>
      </w:r>
    </w:p>
    <w:p>
      <w:r>
        <w:t>FR: GE_GERICHTE DCBA/196/2022 du 5 septembre 2022</w:t>
      </w:r>
    </w:p>
    <w:p>
      <w:r>
        <w:t>IT: GE_GERICHTE DCBA/196/2022 del 5 settembre 2022</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du 26 avril 2002 (E 6 10 – LPAv ; art. 14 LLCA ; 14 LPAv). 2.a. Les avocats inscrits au registre cantonal sont soumis, sans préjudice des règles de droit commun, à la surveillance de la Commission du barreau (art. 42 al. 1 LPAv). b. La Commission du barreau statue sur tout manquement aux devoirs professionnels (art. 43 al. 1 LPAv).</w:t>
      </w:r>
    </w:p>
    <w:p>
      <w:r>
        <w:rPr>
          <w:b/>
        </w:rPr>
        <w:t>E. 3</w:t>
      </w:r>
    </w:p>
    <w:p>
      <w:r>
        <w:t>Aux termes de l’art. 12 let. a LLCA, l’avocat exerce sa profession avec soin et diligence.</w:t>
      </w:r>
    </w:p>
    <w:p>
      <w:r>
        <w:rPr>
          <w:b/>
        </w:rPr>
        <w:t>E. 4</w:t>
      </w:r>
    </w:p>
    <w:p>
      <w:r>
        <w:t>Le soin et la diligence visés par l’article 12 let. a LLCA sont ceux, selon la doctrine et la jurisprudence, de l’article 398 al. 2 CO (FELLMANN/ZINDEL, Kommentar zum Anwaltsgesetz, 2ème édition, p.137). Selon ces auteurs, l’article 12 let. a LLCA vise la protection de l’obligation de soin et de diligence de l’avocat dans l’exercice de sa profession dans l’intérêt du public et de l’état de droit (VALTICOS/REISER/ CHAPPUIS, Commentaire romand, Loi sur les avocats, n° 24 ad. art. 12). Ces auteurs précisent, toutefois, que la violation des obligations de droit civil relatives à l’article 398 al. 2 CO n’entraîne pas nécessairement une sanction disciplinaire. Pour qu’une telle sanction puisse s’imposer, il doit s’agir de violations grossières de cette obligation (FELLMANN/ZINDEL, op. cit., p. 142, VALTICOS/REISER/ CHAPPUIS, op. cit., n° 24, ad art. 12).</w:t>
      </w:r>
    </w:p>
    <w:p>
      <w:r>
        <w:rPr>
          <w:b/>
        </w:rPr>
        <w:t>E. 5</w:t>
      </w:r>
    </w:p>
    <w:p>
      <w:r>
        <w:t>L’art. 12 let. a LLCA constitue une clause générale, qui ne se limite pas aux rapports professionnels de l’avocat avec ses clients, mais qui englobe ceux avec ses confrères, ainsi qu’avec toutes les autorités (ATF 2C_652/2014 du 24 décembre 2014). Si la tâche première de l’avocat est assurément la défense des intérêts de son client, son rôle s’avère également important pour le bon fonctionnement des institutions (ATF 123 I 12 ; ATA/127/2011 du 1er mars 2011, consid. 6). Le fait de devoir observer certaines règles non seulement dans les rapports avec les clients mais aussi à l’égard des autorités, des confrères et du public est en effet nécessaire à une bonne administration de la justice et présente un intérêt public (ATA/132/2014 du 4 mars 2014).</w:t>
      </w:r>
    </w:p>
    <w:p>
      <w:r>
        <w:rPr>
          <w:b/>
        </w:rPr>
        <w:t>E. 6</w:t>
      </w:r>
    </w:p>
    <w:p>
      <w:r>
        <w:t>Selon l’art. 12 let. i LLCA lorsqu’il accepte un mandat, l'avocat informe son client des modalités de facturation et le renseigne périodiquement ou à sa demande sur le montant des honoraires dus.</w:t>
      </w:r>
    </w:p>
    <w:p>
      <w:r>
        <w:rPr>
          <w:b/>
        </w:rPr>
        <w:t>E. 7</w:t>
      </w:r>
    </w:p>
    <w:p>
      <w:r>
        <w:t>Dans l'arrêt 2C_1000/2020 du 2 juin 2021, le Tribunal fédéral a rappelé que selon la pratique découlant de l’art. 12 let. i LLCA, le client peut demander en tout temps une facture détaillée et l’avocat peut manquer à ses obligations découlant de cette disposition s’il ne donne pas suite à cette demande dans un délai raisonnable. Au terme d’un examen approfondi le Tribunal fédéral a considéré que l’art. 12 let. i LLCA impose aux avocats d’informer périodiquement leurs clients du montant des honoraires dus sans que les clients n’aient besoin de le demander. La fréquence à laquelle l'information doit être fournie dépend des circonstances du cas d’espèce. Pour que l’art. 12 let. i LLCA soit respecté, il faut que la fréquence de l’information évite au client d’être soudainement confronté à une demande d’honoraires inattendue.</w:t>
      </w:r>
    </w:p>
    <w:p>
      <w:r>
        <w:rPr>
          <w:b/>
        </w:rPr>
        <w:t>E. 8</w:t>
      </w:r>
    </w:p>
    <w:p>
      <w:r>
        <w:t>En l'occurrence, il est établi que Me A______ a été chargé par B______ de défendre plusieurs de ses assurés dans divers litiges judiciaires ou administratifs, soit dans le cadre d’une activité typique d’avocat, régie par la LLCA. Il est donc tenu par les obligations de soin et de diligence (art. 12 let. a LLCA) de même que par le devoir d’information périodique sur le montant des honoraires dus (art. 12 let. i LLCA). L’art. 12 let. i LLCA</w:t>
      </w:r>
    </w:p>
    <w:p>
      <w:r>
        <w:t>5/7</w:t>
      </w:r>
    </w:p>
    <w:p>
      <w:r>
        <w:t>Commission du barreau - Tél : +41 22 327 62 42</w:t>
      </w:r>
    </w:p>
    <w:p>
      <w:r>
        <w:t>s’applique également à l’égard de la compagnie d’assurance qui a assuré la prise en charge de ses honoraires, ce quand bien même elle n’est pas la mandante de l’avocat (CHAPPUIS/GURTNER, La profession d’avocat, Schulthess, n° 771ss, p. 204).</w:t>
      </w:r>
    </w:p>
    <w:p>
      <w:r>
        <w:rPr>
          <w:b/>
        </w:rPr>
        <w:t>E. 9</w:t>
      </w:r>
    </w:p>
    <w:p>
      <w:r>
        <w:t>Le devoir de diligence oblige notamment l’avocat à disposer d’une organisation adéquate et suffisante pour lui permettre d’accomplir sa mission avec soin et dans le respect de toutes ses obligations professionnelles. En relation avec le devoir général d’information et celui particulier de l’art. 12 let. i LLCA, cela implique qu’il doit disposer d’une organisation et d’une infrastructure fonctionnelles et efficaces, non seulement pour la gestion de ses mandats mais aussi en matière de facturation et de comptabilisation des frais et honoraires.</w:t>
      </w:r>
    </w:p>
    <w:p>
      <w:r>
        <w:rPr>
          <w:b/>
        </w:rPr>
        <w:t>E. 10</w:t>
      </w:r>
    </w:p>
    <w:p>
      <w:r>
        <w:t>En l’espèce, il apparaît que Me A______ accumule des retards de facturation de plusieurs années, dans de nombreux mandats, ce qu’il admet d’ailleurs sans en expliquer la ou les causes exactes. Il n’appartient pas à la Commission du barreau d’en éclaircir les causes. Le seul constat que ces retards révèlent d’une part une organisation déficiente et d’autre part, des carences durables et répétées dans son devoir d’information, suffit à retenir des violations des articles 12 let. a et 12 let. i LLCA.</w:t>
      </w:r>
    </w:p>
    <w:p>
      <w:r>
        <w:rPr>
          <w:b/>
        </w:rPr>
        <w:t>E. 11</w:t>
      </w:r>
    </w:p>
    <w:p>
      <w:r>
        <w:t>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rPr>
          <w:b/>
        </w:rPr>
        <w:t>E. 12</w:t>
      </w:r>
    </w:p>
    <w:p>
      <w:r>
        <w:t>L’avertissement est la sanction la moins grave et est réservé aux cas bénins. Le blâme est destiné à sanctionner des manquements professionnels plus graves et doit apparaître comme suffisant pour amener l’avocat à ses devoirs et l’inciter à se comporter de manière irréprochable, conformément aux exigences de la profession (VALTICOS/REISER/CHAPPUIS, op. cit., n° 25 ad. art. 17 LLCA). L’amende fait partie des mesures disciplinaires d’importance moyenne. Elle sanctionne des manquements professionnels plus graves que le blâme. Alors que l’avertissement et le blâme poursuivent un but essentiellement préventif, l’amende présente un caractère plus répressif. La fixation de l’amende est soumise aux principes généraux qui régissent le choix des mesures disciplinaires. L’autorité peut prendre en considération l’appât du gain témoigné par l’avocat, ainsi que les avantages économiques liés aux manquements professionnels constatés dans la mesure où ils traduisent aussi un élément de culpabilité de l’avocat (VALTICOS/REISER/CHAPPUIS, op. cit., n° 65 ad. art. 17 LLCA).</w:t>
      </w:r>
    </w:p>
    <w:p>
      <w:r>
        <w:rPr>
          <w:b/>
        </w:rPr>
        <w:t>E. 13</w:t>
      </w:r>
    </w:p>
    <w:p>
      <w:r>
        <w:t>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 attendre d’un avocat a été altérée. L’autorité devra enfin tenir compte des conséquences que la mesure disciplinaire peut entraîner pour l’avocat. En particulier sur le plan économique, ainsi que d’autres sanctions ou mesures, civiles, pénales ou administratives auxquelles elle peut s’ajouter (VALTICOS/REISER/CHAPPUIS, op. cit., n° 25 ad art. 17 LLCA). La Commission du barreau considère que le manquement constaté est d’une gravité suffisante pour justifier une sanction disciplinaire.</w:t>
      </w:r>
    </w:p>
    <w:p>
      <w:r>
        <w:rPr>
          <w:b/>
        </w:rPr>
        <w:t>E. 14</w:t>
      </w:r>
    </w:p>
    <w:p>
      <w:r>
        <w:t>Contrairement à ce que semble considérer Me A______, les violations commises sont graves dans la mesure où les obligations violées sont fondamentales pour l’exercice</w:t>
      </w:r>
    </w:p>
    <w:p>
      <w:r>
        <w:t>6/7</w:t>
      </w:r>
    </w:p>
    <w:p>
      <w:r>
        <w:t>Commission du barreau - Tél : +41 22 327 62 42</w:t>
      </w:r>
    </w:p>
    <w:p>
      <w:r>
        <w:t>correct de la profession. Le fait que certains de ses honoraires soient éteints par la prescription, que des mandats aient été menés à terme pro bono du seul fait de l’écoulement du temps ou encore que les clients aient obtenu satisfaction, ne constituent pas des motifs justificatifs ou excusables des violations commises.</w:t>
      </w:r>
    </w:p>
    <w:p>
      <w:r>
        <w:t>Vu le courrier de B______ du 17 août 2022, il n’est pas certain que Me A______ se soit enfin conformé à ses obligations en communiquant à celle-ci ses notes de frais et honoraires, fussent-elles prescrites.</w:t>
      </w:r>
    </w:p>
    <w:p>
      <w:r>
        <w:t>Outre l’absence d’une prise de conscience des violations commises chez Me A______, la Commission se doit de relever chez ce dernier une certaine désinvolture dans sa manière de répondre à la dénonciation et dans sa gestion de la présente procédure disciplinaire. Indépendamment des nombreux délais non respectés, Me A______ a temporisé en prétendant avoir entrepris des démarches qu’il n’a que partiellement ou tardivement accomplies pour tenter de régler le différend avec la dénonciatrice. Au-delà d’un manque de respect envers l’autorité de surveillance, ces attitudes confirment le constat d’une carence dans le soin et la diligence de Me A______ dans son exercice de la profession.</w:t>
      </w:r>
    </w:p>
    <w:p>
      <w:r>
        <w:t>La Commission du barreau relève que Me A______ a déjà été sanctionné à deux reprises par la Commission du barreau pour violation de l'art. 12 let. a LLCA. Ainsi, dans une décision du 9 mars 2020, la Commission du barreau a prononcé un blâme à son encontre pour avoir fait usage de termes gratuitement invectivants et malveillants à l’égard d’une Procureure en charge d’une procédure pénale où il intervenait pour la défense des intérêts du prévenu. La Commission a également infligé une amende de CHF 3'000.- à Me A______ par décision du 13 décembre 2021 pour ne pas s'être rendu à des audiences auxquelles sa cliente était convoquée, ainsi qu’en sollicitant tardivement l’assistance juridique pour la défense à la procédure de mesures protectrices.</w:t>
      </w:r>
    </w:p>
    <w:p>
      <w:r>
        <w:rPr>
          <w:b/>
        </w:rPr>
        <w:t>E. 15</w:t>
      </w:r>
    </w:p>
    <w:p>
      <w:r>
        <w:t>Au vu de l’ensemble des faits et des antécédents de Me A______, la Commission du barreau lui inflige une amende de CHF 3'000.-.</w:t>
      </w:r>
    </w:p>
    <w:p>
      <w:r>
        <w:rPr>
          <w:b/>
        </w:rPr>
        <w:t>E. 16</w:t>
      </w:r>
    </w:p>
    <w:p>
      <w:r>
        <w:t>Vu l’issue de la procédure, un émolument de CHF 600.- sera mis à la charge de Me A______ en application de l’art. 9 al. 5 du règlement d’application de la loi sur la profession d’avocat du 7 décembre 2010 (RPAv – E 6 10.01).</w:t>
      </w:r>
    </w:p>
    <w:p>
      <w:r>
        <w:rPr>
          <w:b/>
        </w:rPr>
        <w:t>E. 17</w:t>
      </w:r>
    </w:p>
    <w:p>
      <w:r>
        <w:t>La présente décision sera notifiée dans son intégralité à B______ en application de l’art. 48 LPAv.</w:t>
      </w:r>
    </w:p>
    <w:p>
      <w:r>
        <w:t>7/7</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