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DCBA/191/2020 vom 12. Oktober 2020</w:t>
      </w:r>
    </w:p>
    <w:p>
      <w:r>
        <w:t>GE Cour de justice, 2020-10-12, FR</w:t>
      </w:r>
    </w:p>
    <w:p>
      <w:r>
        <w:rPr>
          <w:b/>
        </w:rPr>
        <w:t xml:space="preserve">Quelle: </w:t>
      </w:r>
      <w:r>
        <w:t>https://mcp.opencaselaw.ch/entscheid/ge_gerichte_DCBA_191_2020</w:t>
      </w:r>
    </w:p>
    <w:p>
      <w:r>
        <w:t>FR: GE_GERICHTE DCBA/191/2020 du 12 octobre 2020</w:t>
      </w:r>
    </w:p>
    <w:p>
      <w:r>
        <w:t>IT: GE_GERICHTE DCBA/191/2020 del 12 ottobre 2020</w:t>
      </w:r>
    </w:p>
    <w:p>
      <w:pPr>
        <w:pStyle w:val="Heading2"/>
      </w:pPr>
      <w:r>
        <w:t>Erwägungen</w:t>
      </w:r>
    </w:p>
    <w:p>
      <w:r>
        <w:rPr>
          <w:b/>
        </w:rPr>
        <w:t>E. 1</w:t>
      </w:r>
    </w:p>
    <w:p>
      <w:r>
        <w:t>La Commission du barreau exerce les compétences dévolues à l’autorité de surveillance des avocats par la loi fédérale sur la libre circulation des avocats du 23 juin 2000 (LLCA – RS 935.61), ainsi que celles qui lui sont attribuées par la loi genevoise sur la profession d’avocat du 26 avril 2002 (LPAv – RS GE E 6 10) (art. 14 LLCA et 14 LPAv). La Commission du barreau statue sur tout manquement aux devoirs professionnels. Son intervention a lieu d’office ou sur dénonciation. En pareil cas, selon l’art. 48 LPAv, le dénonciateur, qui n’a pas accès au dossier, est avisé de la suite qui a été donnée à sa dénonciation et il reçoit communication de la sanction infligée et des considérants de la décision rendue, dans la mesure fixée par la Commission.</w:t>
      </w:r>
    </w:p>
    <w:p>
      <w:r>
        <w:rPr>
          <w:b/>
        </w:rPr>
        <w:t>E. 2</w:t>
      </w:r>
    </w:p>
    <w:p>
      <w:r>
        <w:t>La Commission du barreau veille au respect des conditions personnelles à l’exercice de la profession d’avocat prévues par l’art. 8 LLCA. Elle veille également aux conditions de formation telles que stipulées par l’art. 7 LLCA.</w:t>
      </w:r>
    </w:p>
    <w:p>
      <w:r>
        <w:rPr>
          <w:b/>
        </w:rPr>
        <w:t>E. 3</w:t>
      </w:r>
    </w:p>
    <w:p>
      <w:r>
        <w:t>Au terme de cette dernière disposition (art. 7 LLCA), pour être inscrit au Registre, l’avocat doit être titulaire d’un brevet d’avocat. Les cantons ne peuvent délivrer un tel brevet que si le titulaire a effectué des études de droit sanctionnées soit par une licence ou un master délivrés par une université suisse, soit par un diplôme équivalent délivré par une université de l’un des Etats qui ont conclu avec la Suisse un accord de reconnaissance mutuelle des diplômes. L’avocat doit également avoir effectué un stage d’une durée d’un an au moins en Suisse et sanctionné par un examen portant sur les connaissances juridiques théoriques et pratiques.</w:t>
      </w:r>
    </w:p>
    <w:p>
      <w:r>
        <w:rPr>
          <w:b/>
        </w:rPr>
        <w:t>E. 4</w:t>
      </w:r>
    </w:p>
    <w:p>
      <w:r>
        <w:t>Au terme de l’art. 30 LLCA, l’avocat ressortissant d’un Etat membre de l’UE ou de l’AELE peut être inscrit à un Registre cantonal des avocats sans remplir les conditions prévues à l’art. 7 let. b notamment s’il a été inscrit pendant trois ans au moins au tableau des avocats pratiquant sous leur titre professionnel d’origine et qu’il justifie pendant cette période d’une activité effective et régulière en droit suisse ou qu’il justifie d’une activité effective et régulière d’une durée moindre en droit suisse et qu’il a passé avec succès un entretien de vérification de ses compétences professionnelles (art. 32 LLCA). Il jouit alors des mêmes droits et obligations qu’un avocat titulaire d’un brevet cantonal inscrit au Registre.</w:t>
      </w:r>
    </w:p>
    <w:p>
      <w:r>
        <w:rPr>
          <w:b/>
        </w:rPr>
        <w:t>E. 5</w:t>
      </w:r>
    </w:p>
    <w:p>
      <w:r>
        <w:t>L’activité effective se définit comme une activité que l’avocat déploie lui-même sous sa propre responsabilité. Cela signifie que l’avocat doit avoir traité de manière intensive des problématiques de droit suisse durant ses trois ans de pratique. L’activité peut être qualifiée d’effective lorsque son objet permet de la considérer comme pertinente pour l’exercice de la profession d’avocat en Suisse. Cela implique que les mandats traités aient principalement soulevé des questions de droit suisse. Par ailleurs, il faut que l’activité exercée ait été aussi</w:t>
      </w:r>
    </w:p>
    <w:p>
      <w:r>
        <w:t>5/8</w:t>
      </w:r>
    </w:p>
    <w:p>
      <w:r>
        <w:t>Commission du barreau - Tél : +41 22 327 62 42</w:t>
      </w:r>
    </w:p>
    <w:p>
      <w:r>
        <w:t>variée que peut l’être la profession d’avocat. La preuve de la connaissance suffisante du droit suisse incombe à l’avocat étranger conformément à l’art. 10 par. 1 de la directive 98/5/CE et à l’art. 30 I let. b LLCA. Il est précisé dans la directive 98/5/CE que « l’avocat fournit à l’autorité compétente de l’Etat membre d’accueil toutes informations et tous documents utiles, notamment sur le nombre et la nature des dossiers traités par lui » (Benoît CHAPPUIS / Olivier MACH, Loi sur les avocats, Commentaire romand, art. 30, pages 280 et 281 ; WEBER-STECHER, Freizügigkeit, 66 ; BGFA – Komm – KELLERHALS / BAUMGARTNER, art. 30 N 11).</w:t>
      </w:r>
    </w:p>
    <w:p>
      <w:r>
        <w:rPr>
          <w:b/>
        </w:rPr>
        <w:t>E. 6</w:t>
      </w:r>
    </w:p>
    <w:p>
      <w:r>
        <w:t>La Commission du barreau du canton de Genève a ainsi retenu que l’autorité avait à se montrer critique et exigeante à l’égard des preuves qui lui sont soumises, en l’absence de contrôle classique des connaissances de droit suisse de l’avocat requérant. C’est la raison pour laquelle ladite Commission ne se contente pas des déclarations unilatérales de l’avocat mais exige des attestations émanant de l’employeur, de magistrats, de professeurs d’université et d’arbitres (CBA, décision non publiée du 14 janvier 2008, cause 59/07 1 i. f. et 2).</w:t>
      </w:r>
    </w:p>
    <w:p>
      <w:r>
        <w:rPr>
          <w:b/>
        </w:rPr>
        <w:t>E. 7</w:t>
      </w:r>
    </w:p>
    <w:p>
      <w:r>
        <w:t>Aucune des dispositions précitées de la LLCA ne fait a priori et expressément mention d’exigence particulière s’agissant de la pratique de la langue du barreau concerné.</w:t>
      </w:r>
    </w:p>
    <w:p>
      <w:r>
        <w:rPr>
          <w:b/>
        </w:rPr>
        <w:t>E. 8</w:t>
      </w:r>
    </w:p>
    <w:p>
      <w:r>
        <w:t>L’art. 25 de la loi sur la profession d’avocat (LPAv) dispose, au titre des conditions cumulatives nécessaires à la condition d’admission à la formation du Brevet d’avocat, que le candidat doit bénéficier d’une connaissance suffisante de la langue française (art. 25 lit. b ; cf. également ATA/552/2016 du 28 juin 2016).</w:t>
      </w:r>
    </w:p>
    <w:p>
      <w:r>
        <w:rPr>
          <w:b/>
        </w:rPr>
        <w:t>E. 9</w:t>
      </w:r>
    </w:p>
    <w:p>
      <w:r>
        <w:t>Une décision zurichoise indique en revanche qu’une connaissance suffisante de la langue officielle du canton d’enregistrement n’est pas une condition préalable à l’enregistrement. Aucune preuve d’une telle connaissance de la langue officielle du canton dans lequel l’inscription est demandée n’est requise (ZR 111/2012 S.221). Cette décision se réfère également à un arrêt de la Cour européenne des droits de l’Homme du 19 septembre 2006 dans l’affaire C-506/2004 opposant Graham J. WILSON à l’Ordre des avocats du barreau de Luxembourg. Cette même décision zurichoise précise néanmoins que le fait de s’occuper d’un mandat légal malgré le manque de compétence linguistique nécessaire peut constituer une violation (qualifiée) de la diligence requise dans la pratique juridique et donc une violation de l’art. 12 lit. a LLCA.</w:t>
      </w:r>
    </w:p>
    <w:p>
      <w:r>
        <w:rPr>
          <w:b/>
        </w:rPr>
        <w:t>E. 10</w:t>
      </w:r>
    </w:p>
    <w:p>
      <w:r>
        <w:t>En l’espèce, le Ministère public dénonce Me B______ du fait d’une maîtrise imparfaite du français qui rendrait ses interventions orales souvent très difficilement compréhensibles pour les autorités pénales et requiert de la Commission du barreau qu’elle examine si Me B______ remplit les conditions de formation de l’art. 7 LLCA et les conditions personnelles de l’art. 8 LLCA. Ces deux dernières dispositions ne trouvent manifestement ici pas application. L’art. 30 LLCA, qui traite des conditions d’inscription d’un avocat ressortissant d’un Etat membre de l’UE ou de l’AELE, s’il ne pose pas expressément une exigence en matière de</w:t>
      </w:r>
    </w:p>
    <w:p>
      <w:r>
        <w:t>6/8</w:t>
      </w:r>
    </w:p>
    <w:p>
      <w:r>
        <w:t>Commission du barreau - Tél : +41 22 327 62 42</w:t>
      </w:r>
    </w:p>
    <w:p>
      <w:r>
        <w:t>maîtrise de la langue pratiquée dans le canton d’inscription, dispose cependant que l’avocat, s’il a été inscrit pendant trois ans au moins au tableau des avocats pratiquant sous leur titre professionnel d’origine, doit justifier pendant cette période d’une activité effective et régulière en droit suisse (art. 30 al. 1 let. b ch. 1). La Commission du barreau considère qu’une telle activité effective et régulière en droit suisse suppose de l’avocat requérant qu’il maîtrise l’une des langues nationales, et spécifiquement celle du canton où il sollicite de pouvoir pratiquer. Quant à l’art. 25 LPAv, il règle les conditions d’admission à la formation au brevet d’avocat, cette disposition ne pouvant cependant s’appliquer à la situation de Me B______, lequel a été inscrit au Registre cantonal des avocats genevois au terme de la décision rendue par la Commission du barreau en juin 2013. Il convient ainsi de retenir que la Commission du barreau est parfaitement en droit de se montrer critique et exigeante à l’égard des preuves qui lui sont soumises, en l’absence de contrôle classique des connaissances de droit suisse de l’avocat requérant. Ladite Commission étant également autorisée à exiger des attestations émanant de l’employeur, de magistrats, de professeurs d’université et d’arbitres. En d’autres termes, il appartient à la Commission du barreau de procéder à toutes investigations nécessaires afin de s’assurer que l’avocat requérant, au sens de l’art 30 LLCA, dispose des connaissances de droit suisse suffisantes pour être admis au Registre cantonal des avocats. Au sens élargi des connaissances de droit suisse, dont il a été indiqué ci-dessus qu’elles impliquent pour l’avocat requérant de maîtriser une des langues nationales suisses, il apparaît donc fondamental et justifié que la Commission du barreau puisse vérifier les compétences linguistiques du requérant. La Commission du barreau pourrait ainsi estimer que nonobstant une pratique effective du droit suisse (droit de fond), l’avocat requérant ne bénéficie pas des connaissances suffisantes de la langue pratiquée dans le canton où il souhaite être inscrit, ou encore que son expression orale dans la langue en question ne soit pas compatible avec la pratique du droit suisse au sens de l’art. 30 LLCA. Il apparaît également de la responsabilité de la Commission du barreau de vérifier les compétences linguistiques du requérant dès lors que, comme le rappelle la jurisprudence suscitée, le fait de s’occuper d’un mandat légal malgré une maîtrise insuffisante de la langue nécessaire peut constituer une violation qualifiée de la diligence requise dans la pratique juridique et donc une violation de l’art. 12 lit. a LLCA. Il s’impose ainsi à la Commission du barreau de vérifier en amont, avant qu’une telle violation de l’art. 12 lit. a LLCA ne soit commise, les compétences linguistiques de l’avocat qui requiert son inscription au Registre cantonal des avocats. S’agissant en l’espèce de Me B______, il appert que cet examen spécifique de sa maîtrise de la langue française n’a pas été effectuée en 2013, la Commission du barreau ayant procédé à son inscription au Registre cantonal sur la base du dossier déposé. Ce qui peut paraître a priori surprenant dès lors qu’en 2009, l’inscription de Me B______ avait été refusée précisément du fait que quelques investigations auxquelles la Commission du barreau avait procédé l’avait entraînée à rejeter sa requête d’inscription du fait d’une maîtrise insuffisante de la langue française.</w:t>
      </w:r>
    </w:p>
    <w:p>
      <w:r>
        <w:t>7/8</w:t>
      </w:r>
    </w:p>
    <w:p>
      <w:r>
        <w:t>Commission du barreau - Tél : +41 22 327 62 42</w:t>
      </w:r>
    </w:p>
    <w:p>
      <w:r>
        <w:t>Il n’en demeure pas moins que de 2013 à 2020, Me B______ est intervenu dans de très nombreuses procédures pénales, civiles et administratives. Il n’a pas été dénoncé ou même signalé par qui que ce soit en raison de ses carences linguistiques, sous réserve de la dénonciation du Ministère public du 5 février 2020, objet de la présente procédure. Certes, le Ministère public souligne que dans toutes les procédures pénales ou Me B______ intervient, sa maîtrise imparfaite du français rend ses interventions orales souvent très difficilement compréhensibles pour les autorités pénales. Cette affirmation, sans que la Commission du barreau ne remette nullement en cause la bonne foi et la sincérité de son auteur, ne suffit cependant pas à considérer par elle-même que Me B______ ne remplirait pas les conditions de formation de l’art. 7 LLCA et les conditions personnelles de l’art. 8 LLCA, comme suggéré par le Ministère public. Au regard de la loi, de la doctrine et de la jurisprudence actuelle, force est également de constater que quand bien même Me B______ ne disposerait pas d’une telle maîtrise suffisante du français, une radiation au sens de l’art. 9 LLCA, en application des art. 7 respectivement 8 LLCA, ne serait pas envisageable. Seule une violation de l’art. 12 lit. a LLCA pourrait être considérée si Me B______ devait être dénoncé pour ne pas avoir exercé sa profession avec soin et diligence en raison de ses carences dans l’utilisation de la langue française. L’ordonnance de la CPAR du 13 janvier 2020, dont les griefs sont instruits dans le cadre de la procédure CB/21/2020, ne fait pas état de telles carences en tant que telles, du moins expressément. Une hypothétique violation de l’art. 12 lit. a LLCA, sous cet angle spécifique ne sera dès lors pas traitée en l’état.</w:t>
      </w:r>
    </w:p>
    <w:p>
      <w:r>
        <w:rPr>
          <w:b/>
        </w:rPr>
        <w:t>E. 11</w:t>
      </w:r>
    </w:p>
    <w:p>
      <w:r>
        <w:t>La Commission du barreau prononcera un classement.</w:t>
      </w:r>
    </w:p>
    <w:p>
      <w:r>
        <w:rPr>
          <w:b/>
        </w:rPr>
        <w:t>E. 12</w:t>
      </w:r>
    </w:p>
    <w:p>
      <w:r>
        <w:t>Cela étant, la Commission du barreau ne peut qu’exhorter Me B______ à suivre toutes formations utiles en vue d’améliorer sa maîtrise de la langue française, sa diction et son élocution dans cette langue, la Commission du barreau ayant par elle-même constaté, lors de l’audition du 8 juin 2020, que l’accent hispanique prononcé de Me B______ peut rendre difficile sa compréhension. On peut également concevoir une aggravation de cette difficulté de compréhension dans le cadre d’une plaidoirie notamment pénale, soit lorsque l’avocat est par définition soumis à un stress particulier au regard des enjeux de sa mission.</w:t>
      </w:r>
    </w:p>
    <w:p>
      <w:r>
        <w:rPr>
          <w:b/>
        </w:rPr>
        <w:t>E. 13</w:t>
      </w:r>
    </w:p>
    <w:p>
      <w:r>
        <w:t>Compte tenu de ce qui précède, aucun émolument ne sera perçu en application de l’art. 9 al. 7 du Règlement d’application de la Loi sur la profession d’avocat du 7 décembre 2010 (E 6 10.1).</w:t>
      </w:r>
    </w:p>
    <w:p>
      <w:r>
        <w:rPr>
          <w:b/>
        </w:rPr>
        <w:t>E. 14</w:t>
      </w:r>
    </w:p>
    <w:p>
      <w:r>
        <w:t>La présente décision sera notifiée dans son intégralité au Ministère public.</w:t>
      </w:r>
    </w:p>
    <w:p>
      <w:r>
        <w:t>8/8</w:t>
      </w:r>
    </w:p>
    <w:p>
      <w:r>
        <w:t>Commission du barreau - Tél : +41 22 327 62 42</w:t>
      </w:r>
    </w:p>
    <w:p>
      <w:r>
        <w:t>Par ces motifs,</w:t>
      </w:r>
    </w:p>
    <w:p>
      <w:r>
        <w:t>La Commission du barreau</w:t>
      </w:r>
    </w:p>
    <w:p>
      <w:r>
        <w:t> Classe la procédure.  Dit qu’il n’est pas perçu de frais de procédure ou d’émolument.  Notifie la présente décision par pli recommandé à Me B______, soit pour lui à son Conseil Me D______.  Dit que la présente décision peut faire l'objet d'un recours auprès de la Chambre administrative de la Cour de justice dans un délai de 30 jours dès sa notification (art. 131 ss LOJ et 62 al. 1 let. a LPA).  Communique la présente décision dans son intégralité par pli recommandé au Ministère public, soit pour lui au Premier procureur.</w:t>
      </w:r>
    </w:p>
    <w:p>
      <w:r>
        <w:t>Pour la Commission du barreau</w:t>
      </w:r>
    </w:p>
    <w:p>
      <w:r>
        <w:t>Me Vincent SPIRA, rapporteur</w:t>
      </w:r>
    </w:p>
    <w:p>
      <w:r>
        <w:t>Siégeant : Me Shahram DINI</w:t>
      </w:r>
    </w:p>
    <w:p>
      <w:r>
        <w:t>Me Dominique BURGER</w:t>
      </w:r>
    </w:p>
    <w:p>
      <w:r>
        <w:t>M. Dominique FAVRE</w:t>
      </w:r>
    </w:p>
    <w:p>
      <w:r>
        <w:t>Mme Miranda LINIGER GROS</w:t>
      </w:r>
    </w:p>
    <w:p>
      <w:r>
        <w:t>Me Corinne NERFIN</w:t>
      </w:r>
    </w:p>
    <w:p>
      <w:r>
        <w:t>M. Daniel SORMANNI</w:t>
      </w:r>
    </w:p>
    <w:p>
      <w:r>
        <w:t>Me Vincent SPIRA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