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DCBA/115/2022 vom 9. Mai 2022</w:t>
      </w:r>
    </w:p>
    <w:p>
      <w:r>
        <w:t>GE Cour de justice, 2022-05-09, FR</w:t>
      </w:r>
    </w:p>
    <w:p>
      <w:r>
        <w:rPr>
          <w:b/>
        </w:rPr>
        <w:t xml:space="preserve">Quelle: </w:t>
      </w:r>
      <w:r>
        <w:t>https://mcp.opencaselaw.ch/entscheid/ge_gerichte_DCBA_115_2022</w:t>
      </w:r>
    </w:p>
    <w:p>
      <w:r>
        <w:t>FR: GE_GERICHTE DCBA/115/2022 du 9 mai 2022</w:t>
      </w:r>
    </w:p>
    <w:p>
      <w:r>
        <w:t>IT: GE_GERICHTE DCBA/115/2022 del 9 maggio 2022</w:t>
      </w:r>
    </w:p>
    <w:p>
      <w:pPr>
        <w:pStyle w:val="Heading2"/>
      </w:pPr>
      <w:r>
        <w:t>Erwägungen</w:t>
      </w:r>
    </w:p>
    <w:p>
      <w:r>
        <w:rPr>
          <w:b/>
        </w:rPr>
        <w:t>E. 1</w:t>
      </w:r>
    </w:p>
    <w:p>
      <w:r>
        <w:t>La Commission du barreau exerce les compétences dévolues à l’autorité de surveillance des avocats par la loi fédérale sur la libre circulation des avocats du 23</w:t>
      </w:r>
    </w:p>
    <w:p>
      <w:r>
        <w:t>4/6</w:t>
      </w:r>
    </w:p>
    <w:p>
      <w:r>
        <w:t>Commission du barreau - Tél : +41 22 327 62 42</w:t>
      </w:r>
    </w:p>
    <w:p>
      <w:r>
        <w:t>juin 2020 (LLCA – RS 935.61), ainsi que celles qui lui sont attribuées par la loi sur la profession d’avocat du 26 avril 2002 (LPAv – RS GE E 6 10) (art. 14 LLCA et 14 LPAv). Elle statue sur tout manquement aux devoirs professionnels. Son intervention a lieu d'office ou sur dénonciation.</w:t>
      </w:r>
    </w:p>
    <w:p>
      <w:r>
        <w:rPr>
          <w:b/>
        </w:rPr>
        <w:t>E. 2</w:t>
      </w:r>
    </w:p>
    <w:p>
      <w:r>
        <w:t>L'art. 12 LLCA énonce les règles professionnelles auxquelles l'avocat est soumis. Celui-ci doit notamment exercer sa profession avec soin et diligence (art. 12 let. a LLCA). Cette disposition constitue une clause générale, qui permet d'exiger de l'avocat qu'il se comporte correctement dans l'exercice de sa profession. Elle ne se limite pas aux rapports professionnels de l'avocat avec ses clients, mais comprend aussi les relations avec les confrères et les autorités (ATF 144 II 473 consid. 4.1).</w:t>
      </w:r>
    </w:p>
    <w:p>
      <w:r>
        <w:t>Les règles professionnelles énumérées à l'art. 12 LLCA ont été édictées afin de réglementer, dans l'intérêt public, l'exercice de la profession d'avocat. Elles se distinguent des règles déontologiques, qui sont adoptées par les organisations professionnelles. La LLCA définit de manière exhaustive les règles professionnelles auxquelles les avocats sont soumis. Les règles déontologiques conservent toutefois une portée juridique en permettant de préciser ou d'interpréter les règles professionnelles, mais uniquement dans la mesure où elles expriment une opinion largement répandue au plan national. Dans le but d'unifier les règles déontologiques sur tout le territoire de la Confédération, la Fédération Suisse des Avocats a édicté le Code suisse de Déontologie (CSD).</w:t>
      </w:r>
    </w:p>
    <w:p>
      <w:r>
        <w:t>Selon l'art. 6 CSD, l'avocat ne porte pas à la connaissance du tribunal des propositions transactionnelles, sauf accord exprès de la partie adverse. Après avoir posé que le caractère confidentiel d'une communication adressée à un confrère doit être clairement exprimé, l'art. 26 CSD répète qu'il ne peut être fait état en procédure de "documents ou du contenu de propositions transactionnelles ou de discussions confidentielles". Ces dispositions servent à préciser la portée de l'art. 12 let a LLCA, qui prescrit à l'avocat d'exercer sa profession avec soin et diligence. Selon la jurisprudence, le non-respect d'une clause de confidentialité et l'utilisation en procédure du contenu de pourparlers transactionnels constituent une violation de l'obligation résultant de l'art. 12 let. a LLCA. L'interdiction pour l'avocat de se prévaloir en justice de discussion transactionnelles confidentielles est fondée sur l'intérêt public à favoriser le règlement amiable des litiges, les parties devant pouvoir s'exprimer librement lors de la recherche d'une solution extrajudiciaire (ATF 144 II 473 consid. 4.5 et réf. citées).</w:t>
      </w:r>
    </w:p>
    <w:p>
      <w:r>
        <w:t>L'art. 13 LPAv prévoit ce qui suit : Conformément aux us et coutumes de la profession d'avocat : a) nul ne peut se prévaloir d'échanges confidentiels ; b) sont confidentiels les échanges désignés comme tels par la mention "sous les réserves d'usage" ou ceux qui se rapportent à des propositions transactionnelles ; c) la confidentialité est levée soit d'entente entre les parties, soit lorsqu'un accord complet a été trouvé entre elles.</w:t>
      </w:r>
    </w:p>
    <w:p>
      <w:r>
        <w:t>Dans l'hypothèse où les discussions transactionnelles aboutissent à la conclusion d'un accord, cet accord oblige l'avocat et son respect fait partie du devoir de diligence de l'art. 12 let. a LLCA. Sa violation peut exposer l'avocat à des sanctions disciplinaires (CHAPPUIS/GURTNER, La profession d'avocat, 2021, p. 69 n. 242 et réf. citées).</w:t>
      </w:r>
    </w:p>
    <w:p>
      <w:r>
        <w:rPr>
          <w:b/>
        </w:rPr>
        <w:t>E. 3</w:t>
      </w:r>
    </w:p>
    <w:p>
      <w:r>
        <w:t>A la différence de l'art. 13 let. c LPAv, la CSD est muette sur la question de savoir si la conclusion d'un accord transactionnel né des discussions confidentielles a pour effet de lever l'interdiction de produire les pièces ou d'évoquer devant un tribunal les</w:t>
      </w:r>
    </w:p>
    <w:p>
      <w:r>
        <w:t>5/6</w:t>
      </w:r>
    </w:p>
    <w:p>
      <w:r>
        <w:t>Commission du barreau - Tél : +41 22 327 62 42</w:t>
      </w:r>
    </w:p>
    <w:p>
      <w:r>
        <w:t>discussions couvertes par cette confidentialité. Elle laisse ainsi ouverte la question de savoir s'il est possible de s'y référer lorsqu'un différend surgit quant à l'interprétation ou l'exécution d'un accord conclu après des négociations conduites sous les réserves d'usage. Cette question a été analysée par Benoît CHAPPUIS (Le sort des réserves d'usage après la conclusion d'un accord transactionnel, Revue de l'avocat, 2018, pp. 37ss). Cet auteur parvient à la conclusion que la seule interprétation de la règle des réserves d'usage qui soit compatible avec l'ordre juridique est celle qui consiste à retenir que la partie qui a conclu un accord, en étant représentée par un avocat, est autorisée à produire tous les documents pertinents – mais ceux-là seulement – pour l'interprétation ou la détermination de la validité de la convention, en cas de différend avec l'autre partie, cela même si ces documents ont été couverts par les réserves d'usage dans le cours des négociations. En d'autres termes, si les échanges effectués sous les réserves d'usage aboutissent à un accord complet, lesdites réserves sont levées, à tout le moins en ce qui concerne les documents indispensables pour interpréter l'accord transactionnel ou se prononcer sur sa validité (CHAPPUIS, op. cit., p. 42).</w:t>
      </w:r>
    </w:p>
    <w:p>
      <w:r>
        <w:t>Cette manière de voir a été récemment retenue par le Tribunal fédéral. Il a en effet relevé que l'interdiction de produire en justice une proposition de nature transactionnelle envoyée par un avocat au mandataire de la partie adverse s'entend sous réserve d'une procédure en exécution d'un accord transactionnel dûment conclu (ATF 144 II 473 consid. 4.6.1).</w:t>
      </w:r>
    </w:p>
    <w:p>
      <w:r>
        <w:rPr>
          <w:b/>
        </w:rPr>
        <w:t>E. 4</w:t>
      </w:r>
    </w:p>
    <w:p>
      <w:r>
        <w:t>Ces considérations conduisent la Commission du barreau à retenir que Me A______ n'a pas contrevenu à ses obligations professionnelles découlant de l'art. 12 let. a LLCA. La proposition faite sous les réserves d'usage, le 19 juillet 2017, par Me E______, pour le compte de son client D______, a été acceptée, le 11 août 2017, par Me F______ pour le compte de B______. Il s'agissait d'une proposition chiffrée précise.</w:t>
      </w:r>
    </w:p>
    <w:p>
      <w:r>
        <w:t>Il ressort des faits exposés que, au cours des mois qui ont suivi ces échanges, des difficultés sont apparues entre les frères B______ et D______, en lien notamment avec la régularisation fiscale des avoirs de leur mère. L'action en partage successoral déposée le 22 décembre 2020 par B______ démontre implicitement que, pour des motifs que la Commission du barreau n'a pas pour tâche d'établir, celui-ci considérait ne pas être lié par l'accord intervenu sous les réserves d'usage en été 2017 par les précédents Conseils des frères B______ et D______. Le mémoire de réponse de D______ expose que le défendeur estimait au contraire que cet accord s'imposait aux parties, et qu'il y avait eu accord parfait sur les éléments essentiels du partage.</w:t>
      </w:r>
    </w:p>
    <w:p>
      <w:r>
        <w:t>Le juge civil saisi de l'action en partage aurait ainsi eu pour tâche de trancher la question de savoir si les parties avaient trouvé un accord qui les liait ou si tel n'était pas le cas.</w:t>
      </w:r>
    </w:p>
    <w:p>
      <w:r>
        <w:t>Me A______ était ainsi autorisé, pour étayer la position de son client, à produire les courriers échangés sous les réserves d'usage.</w:t>
      </w:r>
    </w:p>
    <w:p>
      <w:r>
        <w:t>L'accord que les parties viennent de trouver dans le cadre de cette procédure vient confirmer cette appréciation.</w:t>
      </w:r>
    </w:p>
    <w:p>
      <w:r>
        <w:rPr>
          <w:b/>
        </w:rPr>
        <w:t>E. 5</w:t>
      </w:r>
    </w:p>
    <w:p>
      <w:r>
        <w:t>La procédure dont la Commission du barreau s'est autosaisie est donc classée, sans frais.</w:t>
      </w:r>
    </w:p>
    <w:p>
      <w:r>
        <w:t>* * * * *</w:t>
      </w:r>
    </w:p>
    <w:p>
      <w:r>
        <w:t>6/6</w:t>
      </w:r>
    </w:p>
    <w:p>
      <w:r>
        <w:t>Commission du barreau - Tél : +41 22 327 62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