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DAS/9/2015 vom 10. November 2014</w:t>
      </w:r>
    </w:p>
    <w:p>
      <w:r>
        <w:t>GE Cour de justice, 2014-11-10, FR</w:t>
      </w:r>
    </w:p>
    <w:p>
      <w:r>
        <w:rPr>
          <w:b/>
        </w:rPr>
        <w:t xml:space="preserve">Quelle: </w:t>
      </w:r>
      <w:r>
        <w:t>https://mcp.opencaselaw.ch/entscheid/ge_gerichte_DAS_9_2015</w:t>
      </w:r>
    </w:p>
    <w:p>
      <w:r>
        <w:t>FR: GE_GERICHTE DAS/9/2015 du 10 novembre 2014</w:t>
      </w:r>
    </w:p>
    <w:p>
      <w:r>
        <w:t>IT: GE_GERICHTE DAS/9/2015 del 10 novembre 2014</w:t>
      </w:r>
    </w:p>
    <w:p>
      <w:pPr>
        <w:pStyle w:val="Heading2"/>
      </w:pPr>
      <w:r>
        <w:t>Erwägungen</w:t>
      </w:r>
    </w:p>
    <w:p>
      <w:r>
        <w:rPr>
          <w:b/>
        </w:rPr>
        <w:t>E. 1</w:t>
      </w:r>
    </w:p>
    <w:p>
      <w:r>
        <w:t>L'autorité de protection prend, d'office ou à la demande d'une personne partie à la procédure, toutes les mesures provisionnelles nécessaires pendant la durée de la procédure (art. 445 al. 1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w:t>
      </w:r>
    </w:p>
    <w:p>
      <w:r>
        <w:rPr>
          <w:b/>
        </w:rPr>
        <w:t>E. 2</w:t>
      </w:r>
    </w:p>
    <w:p>
      <w:r>
        <w:t>Le recourant ne conteste pas l'admission par le Tribunal de protection de sa compétence pour prendre des mesures provisionnelles, mais expose que celui-ci aurait dû reconnaître sa compétence au fond. Dans la mesure où le Tribunal de protection n'a rendu qu'une décision sur mesures provisionnelles, il n'y a pas lieu d'examiner la compétence au fond, celle-ci n'ayant pas fait l'objet de la décision querellée. Cela étant, la compétence, non contestée, du Tribunal de protection pour prendre les mesures provisionnelles de protection de l'enfant était quoi qu'il en soit donnée, que l'on applique l'art. 11 CLaH par le biais de l'art. 85 al. 1 LDIP ou que l'on applique l'art. 10 LDIP (ATF 5A_665/2011), vu que l'enfant se trouvait à Genève au moment où les mesures de protection provisoires ont dû être prises.</w:t>
      </w:r>
    </w:p>
    <w:p>
      <w:r>
        <w:t>- 5/8 -</w:t>
      </w:r>
    </w:p>
    <w:p>
      <w:r>
        <w:t>C/3746/2014-CS Cela étant, il apparaît douteux, au vu du dossier et en particulier au vu du changement incessant de lieu de vie de la famille depuis son départ de ______, que l'enfant ait pu se constituer une résidence habituelle en ______, malgré les quelques mois passés dans ce pays. Le seul pays dans lequel l'enfant semble s'être constituée une résidence habituelle est celui dans lequel elle est née et a vécu avec sa famille les premières années de son existence, avant que ne commence l'errance à travers l'Europe, sans point d'attaches ni but précis.</w:t>
      </w:r>
    </w:p>
    <w:p>
      <w:r>
        <w:rPr>
          <w:b/>
        </w:rPr>
        <w:t>E. 3</w:t>
      </w:r>
    </w:p>
    <w:p>
      <w:r>
        <w:t>Sur mesures provisionnelles, le Tribunal de protection a estimé nécessaire de retirer la garde de l'enfant à ses deux parents et de maintenir le placement ordonné antérieurement de la mineure en foyer, aux motifs notamment que cette décision est la seule qui permette, d'une part d'empêcher que le recourant ne quitte la Suisse et continue son errance avec l'enfant, contraire à ses intérêts, et d'autre part de faire en sorte que la mère et l'enfant puissent conserver un contact. Le recourant, quant à lui, considère qu'il a été retenu par le Service de protection des mineurs que ses capacités parentales étaient bonnes et ses liens avec l'enfant forts, de sorte que la décision viole le principe de la proportionnalité et est inopportune.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(ATF 5A_535/2012 du 21 juin 2012). A l'instar de toutes mesures de protection de l'enfant, le retrait du droit de garde est régi par les principes de subsidiarité, de complémentarité et de proportionnalité (ATF 5A_858/2008 du 15 avril 2009).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w:t>
      </w:r>
    </w:p>
    <w:p>
      <w:r>
        <w:t>- 6/8 -</w:t>
      </w:r>
    </w:p>
    <w:p>
      <w:r>
        <w:t>C/3746/2014-CS carences graves dans l'exercice du droit de garde qui sont susceptibles de justifier un retrait de ce droit, si d'autres mesures moins incisives ne permettent pas d'atteindre le but de protection poursuivi, sont notamment la maltraitance physique et/ou psychologique ainsi que l'inaptitude ou la négligence grave dans l'éducation et la prise en charge, quelques en soient les causes (P. MEIER, idem, n° 17). Le retrait de garde est la mesure la plus incisive des mesures prévues par la loi en vue de la protection de l'enfant (DAS/142/2014).</w:t>
      </w:r>
    </w:p>
    <w:p>
      <w:r>
        <w:rPr>
          <w:b/>
        </w:rPr>
        <w:t>E. 3.2</w:t>
      </w:r>
    </w:p>
    <w:p>
      <w:r>
        <w:t>Dans le cas d'espèce, le Tribunal de protection a retiré la garde de l'enfant tant à son père qu'à sa mère. Force est de constater d'emblée qu'il n'y a aucune raison découlant du dossier pour que la garde de l'enfant soit retirée à sa mère. En effet, d'une part les allégations du recourant relatives à l'abus d'alcool et de stupéfiants pour celle-ci ne sont corroborées par aucun élément et sont particulièrement sujettes à caution. D'autre part, il ressort du rapport établi par le Service social international que la mère est tout à fait capable d'éduquer et d'élever son enfant de manière correcte et dans des conditions adéquates. On rappellera par ailleurs que le père ne peut se prévaloir de son comportement illicite consistant à avoir soustrait sans droit son enfant aux fins de l'emmener à l'étranger, coupant unilatéralement et de manière non admissible les liens de celui-ci avec sa mère. Par conséquent, la décision sur ce point sera annulée. Le Tribunal de protection a prononcé le retrait de la garde de l'enfant au père aux motifs que dans le cas contraire, il était à craindre que celui-ci ne quitte la Suisse avec elle. Or, il ressort du dossier que si, certes, la clause-péril prononcée par le Service de protection des mineurs et ratifiée par le Tribunal de protection était justifiée pour mettre un terme à l'errance de l'enfant à travers l'Europe que lui faisait subir le requérant, force est de constater que le Service de protection des mineurs considère que celui-ci a une bonne capacité parentale, qu'il a des relations proches et adéquates avec son enfant et qu'il dispose à l'heure actuelle d'un logement. Il n'y a dès lors aucune raison pour prolonger le retrait de garde prononcé initialement et le placement de l'enfant qui doit rester une ultima ratio. Le retrait de garde n'est dès lors plus nécessaire. Le recours sera admis sur ce point également.</w:t>
      </w:r>
    </w:p>
    <w:p>
      <w:r>
        <w:rPr>
          <w:b/>
        </w:rPr>
        <w:t>E. 3.3</w:t>
      </w:r>
    </w:p>
    <w:p>
      <w:r>
        <w:t>Dans la mesure enfin où le recourant conteste le ch. 5 du dispositif de l'ordonnance querellée, le recours sera rejeté, le recourant ne motivant d'une part en rien son recours sur ce point et d'autre part, prenant une conclusion identique au chiffre prétendument contesté.</w:t>
      </w:r>
    </w:p>
    <w:p>
      <w:r>
        <w:t>- 7/8 -</w:t>
      </w:r>
    </w:p>
    <w:p>
      <w:r>
        <w:t>C/3746/2014-CS Pour le surplus, on ignore pour quelle raison la mère de l'enfant, qui déclare sans en apporter la moindre preuve avoir entamé une procédure matrimoniale, n'a pas encore requis le retour de l'enfant dans son pays, la Suisse et ______ ayant ratifié la Convention de la Haye du 25 octobre 1980 sur les aspects civils de l'enlèvement international d'enfants (CLaH80) (cf. ATF ______).</w:t>
      </w:r>
    </w:p>
    <w:p>
      <w:r>
        <w:rPr>
          <w:b/>
        </w:rPr>
        <w:t>E. 4</w:t>
      </w:r>
    </w:p>
    <w:p>
      <w:r>
        <w:t>Dans la mesure où il s'agit d'une cause relative à la protection des mineurs, la procédure est gratuite (art. 81 LaCC). * * * * *</w:t>
      </w:r>
    </w:p>
    <w:p>
      <w:r>
        <w:t>- 8/8 -</w:t>
      </w:r>
    </w:p>
    <w:p>
      <w:r>
        <w:t>C/3746/2014-CS PAR CES MOTIFS, La Chambre de surveillance : A la forme : Déclare recevable le recours déposé par A______ contre l'ordonnance DTAE/4953/2014 datée du 23 septembre 2014 mais notifiée le 29 octobre 2014 par le Tribunal de protection de l'adulte et de l'enfant dans la cause C/3746/2014-6. Au fond : L'admet partiellement et annule les ch. 1, 2 et 4 de l'ordonnance querellée. La confirme pour le surplus. Sur les frais :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