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DAS/98/2024 vom 8. November 2023</w:t>
      </w:r>
    </w:p>
    <w:p>
      <w:r>
        <w:t>GE Cour de justice, 2023-11-08, FR</w:t>
      </w:r>
    </w:p>
    <w:p>
      <w:r>
        <w:rPr>
          <w:b/>
        </w:rPr>
        <w:t xml:space="preserve">Quelle: </w:t>
      </w:r>
      <w:r>
        <w:t>https://mcp.opencaselaw.ch/entscheid/ge_gerichte_DAS_98_2024</w:t>
      </w:r>
    </w:p>
    <w:p>
      <w:r>
        <w:t>FR: GE_GERICHTE DAS/98/2024 du 8 novembre 2023</w:t>
      </w:r>
    </w:p>
    <w:p>
      <w:r>
        <w:t>IT: GE_GERICHTE DAS/98/2024 del 8 novembre 2023</w:t>
      </w:r>
    </w:p>
    <w:p>
      <w:pPr>
        <w:pStyle w:val="Heading2"/>
      </w:pPr>
      <w:r>
        <w:t>Erwägungen</w:t>
      </w:r>
    </w:p>
    <w:p>
      <w:r>
        <w:rPr>
          <w:b/>
        </w:rPr>
        <w:t>E. 1</w:t>
      </w:r>
    </w:p>
    <w:p>
      <w:r>
        <w:t>1.1.1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30 jours à compter de la notification de la décision (art. 450b al. 1 CC). Le recours doit être dûment motivé et interjeté par écrit auprès du juge (art. 450 al. 3 CC). 1.1.2 En l’espèce, les deux recours ont été interjetés dans le délai de 30 jours indiqué sur l’ordonnance litigieuse, de sorte qu’ils sont recevables, les conditions de forme ayant par ailleurs été respectées. Il sera toutefois relevé qu’il est surprenant que le Tribunal de protection ait rendu une décision au fond et non provisionnelle, alors que la procédure n’est de toute évidence pas terminée puisqu’une expertise du groupe familial a été sollicitée et qu’une nouvelle décision sera très vraisemblablement rendue après le dépôt du rapport. Par souci de simplification, les deux recours seront traités ensemble et feront l’objet d’une seule décision.</w:t>
      </w:r>
    </w:p>
    <w:p>
      <w:r>
        <w:rPr>
          <w:b/>
        </w:rPr>
        <w:t>E. 1.2</w:t>
      </w:r>
    </w:p>
    <w:p>
      <w:r>
        <w:t>La Chambre de surveillance revoit la cause en fait, en droit et en opportunité (art. 450a al. 1 CC).</w:t>
      </w:r>
    </w:p>
    <w:p>
      <w:r>
        <w:t>- 15/19 -</w:t>
      </w:r>
    </w:p>
    <w:p>
      <w:r>
        <w:t>C/27713/2019-CS</w:t>
      </w:r>
    </w:p>
    <w:p>
      <w:r>
        <w:rPr>
          <w:b/>
        </w:rPr>
        <w:t>E. 1.3</w:t>
      </w:r>
    </w:p>
    <w:p>
      <w:r>
        <w:t>Le recourant a fait grief au Tribunal de protection d’avoir omis des faits essentiels.</w:t>
      </w:r>
    </w:p>
    <w:p>
      <w:r>
        <w:t>L’état de fait retenu par le Tribunal de protection a été complété dans la mesure utile, de sorte que ce premier grief ne fera pas l’objet d’autres développements.</w:t>
      </w:r>
    </w:p>
    <w:p>
      <w:r>
        <w:rPr>
          <w:b/>
        </w:rPr>
        <w:t>E. 2</w:t>
      </w:r>
    </w:p>
    <w:p>
      <w:r>
        <w:t>2.1.1 Toute personne capable d’ester en justice peut se faire représenter au procès (art. 68 al. 1 CPC). Le représentant doit justifier de ses pouvoirs par une procuration (art. 68 al. 3 CPC).</w:t>
      </w:r>
    </w:p>
    <w:p>
      <w:r>
        <w:t>2.1.2 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w:t>
      </w:r>
    </w:p>
    <w:p>
      <w:r>
        <w:rPr>
          <w:b/>
        </w:rPr>
        <w:t>E. 2.2</w:t>
      </w:r>
    </w:p>
    <w:p>
      <w:r>
        <w:t>Le recourant a pris des conclusions tant pour lui-même que pour B______ ; il a également conclu à ce qu’un droit de visite sur les deux mineurs soit octroyé à d’autres membres de la famille.</w:t>
      </w:r>
    </w:p>
    <w:p>
      <w:r>
        <w:t>La recourante pour sa part a pris des conclusions tant pour elle-même que pour d’autres membres de la famille.</w:t>
      </w:r>
    </w:p>
    <w:p>
      <w:r>
        <w:t>Or, le recourant ne saurait agir ni au nom de la recourante, ni au nom d’autres membres de la famille, qu’il n’est pas habilité à représenter. Il en va de même s’agissant de la recourante, qui n’a pas qualité pour représenter les tiers pour lesquels elle sollicite l’octroi d’un droit de visite sur les deux enfants. Il appartient auxdits tiers, s’ils s’estiment fondés à le faire, de recourir personnellement contre le refus du Tribunal de protection de leur accorder un droit de visite sur les mineurs.</w:t>
      </w:r>
    </w:p>
    <w:p>
      <w:r>
        <w:rPr>
          <w:b/>
        </w:rPr>
        <w:t>E. 3</w:t>
      </w:r>
    </w:p>
    <w:p>
      <w:r>
        <w:t>Le recourant a conclu à ce que la garde des deux mineurs soit attribuée à nouveau aux parents ; la recourante pour sa part a conclu à ce que les enfants soient placés chez leur grand-mère paternelle, chaque partie ayant par ailleurs déclaré soutenir les conclusions prises par l’autre.</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w:t>
      </w:r>
    </w:p>
    <w:p>
      <w:r>
        <w:t>- 16/19 -</w:t>
      </w:r>
    </w:p>
    <w:p>
      <w:r>
        <w:t>C/27713/2019-CS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3.2</w:t>
      </w:r>
    </w:p>
    <w:p>
      <w:r>
        <w:t>En l’espèce, le retrait aux parents de la garde des deux mineurs a été ordonné en raison des soupçons de maltraitance qui pesaient sur eux à l’égard de leur fille. Le mineur H______ a par ailleurs déclaré à plusieurs reprises à divers intervenants avoir été frappé ; il a également fait état de coups que son père aurait donnés à sa sœur.</w:t>
      </w:r>
    </w:p>
    <w:p>
      <w:r>
        <w:t>Actuellement, la procédure pénale initiée à l’encontre des parents se poursuit devant le Ministère public, étant précisé que ceux-ci nient tout acte de maltraitance sur leurs enfants sans parvenir à expliquer l’état de leur fille autrement que par l’existence d’une maladie, en l’état non retenue par les équipes médicales l’ayant examinée. Une expertise du groupe familial a par ailleurs été ordonnée par le Tribunal de protection.</w:t>
      </w:r>
    </w:p>
    <w:p>
      <w:r>
        <w:t>En l’état, il paraît prématuré de restituer aux parents la garde de leurs enfants, alors que leurs capacités parentales n’ont pas encore été évaluées par les experts et que, si la maltraitance devait être retenue, elle devrait être considérée comme particulièrement grave.</w:t>
      </w:r>
    </w:p>
    <w:p>
      <w:r>
        <w:t>La garde des enfants ne saurait davantage être confiée à la grand-mère paternelle des mineurs, dans la mesure où les parents y auraient alors librement accès, ce qu’il y a lieu d’éviter pour les raisons exposées ci-dessus.</w:t>
      </w:r>
    </w:p>
    <w:p>
      <w:r>
        <w:t>Les chiffres 1 et 2 du dispositif de l’ordonnance attaquée doivent ainsi être confirmés.</w:t>
      </w:r>
    </w:p>
    <w:p>
      <w:r>
        <w:rPr>
          <w:b/>
        </w:rPr>
        <w:t>E. 4</w:t>
      </w:r>
    </w:p>
    <w:p>
      <w:r>
        <w:t>Subsidairement, les recourants ont sollicité l’octroi d’un droit de visite, le cas échéant en milieu protégé. 4.1.1 Le père ou la mère qui ne détient pas l'autorité parentale ou la garde ainsi que l'enfant mineur ont réciproquement le droit d'entretenir les relations personnelles indiquées par les circonstances (art. 273 al. 1 CC).</w:t>
      </w:r>
    </w:p>
    <w:p>
      <w:r>
        <w:t>- 17/19 -</w:t>
      </w:r>
    </w:p>
    <w:p>
      <w:r>
        <w:t>C/27713/2019-CS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w:t>
      </w:r>
    </w:p>
    <w:p>
      <w:r>
        <w:t>- 18/19 -</w:t>
      </w:r>
    </w:p>
    <w:p>
      <w:r>
        <w:t>C/27713/2019-CS Le juge dispose d'un large pouvoir d'appréciation dans la fixation du droit de visite (ATF 122 III 404 consid. 3d = JdT 1998 I 46).</w:t>
      </w:r>
    </w:p>
    <w:p>
      <w:r>
        <w:rPr>
          <w:b/>
        </w:rPr>
        <w:t>E. 4.2</w:t>
      </w:r>
    </w:p>
    <w:p>
      <w:r>
        <w:t>En l’espèce, le Tribunal de protection a considéré qu’il convenait de suivre les recommandations du SPMI s’agissant de la suspension de toute relation personnelle entre les parents et leurs enfants, tout en invitant les curateurs à préaviser toute opportunité de reprise d’un droit de visite. Cette décision doit être confirmée. Le Tribunal de protection a en effet ordonné une expertise familiale, laquelle est en cours, le rapport étant attendu dans le courant du mois de juin 2024. Les conclusions et recommandations des experts permettront de déterminer si et sous quelle forme, ainsi que moyennant quelles modalités et précautions, les relations personnelles parents-enfants pourront éventuellement reprendre. Or, il convient de ne pas perturber davantage l’équilibre des mineurs en ordonnant la reprise de relations personnelles qui pourraient potentiellement être à nouveau interrompues après le dépôt du rapport d’expertise. Il appartiendra toutefois au Tribunal de protection, aussitôt le rapport d’expertise reçu, d’examiner la possibilité, par le prononcé le cas échéant de mesures provisionnelles et dans le respect des conclusions des experts, d’ordonner la reprise des relations personnelles entre les recourants et leurs enfants.</w:t>
      </w:r>
    </w:p>
    <w:p>
      <w:r>
        <w:rPr>
          <w:b/>
        </w:rPr>
        <w:t>E. 5</w:t>
      </w:r>
    </w:p>
    <w:p>
      <w:r>
        <w:t>La procédure portant sur des mesures de protection en faveur de mineurs, elle est gratuite (art. 81 al. 1 LaCC). * * * * *</w:t>
      </w:r>
    </w:p>
    <w:p>
      <w:r>
        <w:t>- 19/19 -</w:t>
      </w:r>
    </w:p>
    <w:p>
      <w:r>
        <w:t>C/27713/2019-CS PAR CES MOTIFS, La Chambre de surveillance : A la forme : Déclare recevables les recours formés par B______ et A______ contre l’ordonnance DTAE/7666/2023 rendue le 21 septembre 2023 par le Tribunal de protection de l’adulte et de l’enfant dans la cause C/27713/2019. Au fond : Les rejette.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