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DAS/98/2023 vom 20. Januar 2023</w:t>
      </w:r>
    </w:p>
    <w:p>
      <w:r>
        <w:t>GE Cour de justice, 2023-01-20, FR</w:t>
      </w:r>
    </w:p>
    <w:p>
      <w:r>
        <w:rPr>
          <w:b/>
        </w:rPr>
        <w:t xml:space="preserve">Quelle: </w:t>
      </w:r>
      <w:r>
        <w:t>https://mcp.opencaselaw.ch/entscheid/ge_gerichte_DAS_98_2023</w:t>
      </w:r>
    </w:p>
    <w:p>
      <w:r>
        <w:t>FR: GE_GERICHTE DAS/98/2023 du 20 janvier 2023</w:t>
      </w:r>
    </w:p>
    <w:p>
      <w:r>
        <w:t>IT: GE_GERICHTE DAS/98/2023 del 20 gennaio 2023</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Interjetés par les parents des enfants directement concernés par la décision attaquée, dans le délai utile de 30 jours et suivant la forme prescrite, les deux recours sont recevables (art. 450 al. 2 et 3 et 450b CC). Dans un souci d’économie de procédure, ils seront tous deux traités dans la présente décision.</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2.1.1 Le droit aux relations personnelles est conçu à la fois comme un droit et un devoir des parents, mais aussi et surtout comme un droit de la personnalité de l'enfant. Il doit ainsi servir en premier lieu l'intérêt de l'enfant (ATF 127 III 295 consid. 4a); en effet, le rapport de celui-ci avec ses deux parents est unanimement reconnu comme essentiel, car jouant un rôle décisif dans le processus de sa recherche d'identité (ATF 127 III 295 consid. 4a; 123 III 445 consid. 3c). En fixant l'étendue et les modalités d'un droit de visite, il convient en conséquence d'avoir à l'esprit le but auquel tend la relation personnelle entre le</w:t>
      </w:r>
    </w:p>
    <w:p>
      <w:r>
        <w:t>- 13/19 -</w:t>
      </w:r>
    </w:p>
    <w:p>
      <w:r>
        <w:t>C/9468/2020-CS mineur et le parent avec lequel il ne vit pas, et qui est de permettre un développement harmonieux de leur relation, de manière constructive pour l'enfant, ainsi que d'examiner ce que l'enfant est en mesure de supporter. De ce point de vue, le critère essentiel est l'intérêt de l'enfant, celui des parents étant relégué à l'arrière-plan (ATF 120 II 229, JdT 1996 I 331 consid. 4a). En matière de fixation et d'organisation d'un droit de visite, il ne saurait être question de procéder à une simple computation mathématique des jours de visite exercés ou non, ni de procéder à des opérations de "compensation" ou de "rattrapage" mathématiques. Il s'agit d'évaluer toutes les circonstances, au vu du critère primordial de l'intérêt du mineur à établir et à conserver une relation harmonieuse, équilibrée et régulière avec le parent avec lequel il ne vit pas (DAS/305/2012 du 3 décembre 2013; DAS/26/2011 du 11 février 2011). Pour l’exercice du droit de visite, le parent non gardien doit en règle générale aller chercher et ramener l’enfant à sa demeure habituelle (LEUBA, in CR, CC I 2010, ad art. 273 CC n. 23). 2.1.2 Le curateur a pour mission d'intervenir comme un médiateur entre les parents, d'aplanir leurs divergences, de les conseiller et de les préparer aux visites, voire d'organiser les modalités pratiques du droit de visite afin de surveiller ces visites (MAYER/STAEDTLER, Droit de la filiation, 4ème édition, n. 728 et 1159 et ss, pages 427 et 667 et ss). 2.1.3 Le mandat confié au Service de protection des mineurs n'excède pas deux ans. En cas de nécessité, il peut être prolongé. La durée de chaque prolongation ne peut excéder une année (art. 83 al. 3 LaCC). Un émolument peut être perçu auprès des parents. Les autorités judiciaires en fixent la répartition (art. 84 al. 1 LaCC). 2.1.4 L’autorité de protection de l’enfant prend les mesures nécessaires pour protéger l’enfant si son développement est menacé et que les père et mère n’y remédient pas d’eux-mêmes ou soient hors d’état de le faire (art. 307 al. 1 CC). Selon l’art. 307 al. 3 CC, l’autorité de protection peut en particulier rappeler les père et mère, les parents nourriciers ou l’enfant à leurs devoirs, donner des indications ou instructions relatives aux soins, à l’éducation et à la formation de l’enfant et désigner une personne ou un office qualifié qui aurait un droit de regard et d’information. Le Tribunal fédéral a rappelé dans un arrêt récent (5A_887/2017 du 16 février 2018 consid. 5.1) que pour qu’une telle mesure soit ordonnée, il faut que le développement de l’enfant soit menacé, que les parents n’y remédient pas d’eux- mêmes ou soient hors d’état de le faire et que cette menace ne puisse être écartée par des mesures plus limitées (arrêt 5A_65/2017 du 24 mai 2017 consid. 3.2). La</w:t>
      </w:r>
    </w:p>
    <w:p>
      <w:r>
        <w:t>- 14/19 -</w:t>
      </w:r>
    </w:p>
    <w:p>
      <w:r>
        <w:t>C/9468/2020-CS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(principe de proportionnalité au sens étroit; arrêt du Tribunal fédéral 5A_840/2010 du 31 mai 2011 consid. 3.1.2 et la doctrine citée). L’autorité qui ordonne une mesure de protection de l’enfant dispose à cet égard d’un large pouvoir d’appréciation (art. 4 CC; arrêt du Tribunal fédéral 5A_656/2020 du 13 janvier 2011 consid. 3). Le choix de la mesure nécessite en effet une part importante d’anticipation et de pronostic quant à l’évolution des circonstances déterminantes (ATF 120 II 384 consid. 4d); il dépendra de toutes les données concrètes du cas, non seulement sous l’angle juridique, mais aussi en fonction des aspects sociaux, médicaux et éducatifs de la situation et de la constellation familiale (arrêt du Tribunal fédéral 5A_615/2011 du 5 décembre 2011 consid.4.1 et la doctrine citée). 2.1.5 L’autorité de protection de l’adulte établit les fait d’office (art. 446 al. 1 CC). Elle procède à la recherche et à l’administration des preuves nécessaires. Elle peut charger une tierce personne ou un service d’effectuer une enquête. Si nécessaire, elle ordonne un rapport d’expertise (art. 446 al. 2 CC). 2.2.1 En l’état, les vacances scolaires d’été sont réparties entre les parents à raison de la moitié chacun, pour des périodes de deux semaines en alternance. Le père considère toutefois que les vacances d’été comptant désormais sept semaines et non plus huit, il conviendrait de porter les périodes à 3,5 semaines pour chaque parent. Comme rappelé sous considérant 2.1.1 ci-dessus, l’organisation du droit de visite, contrairement à ce que semble considérer B______, ne se résume pas à un exercice purement comptable. Le but n’est ainsi pas d’attribuer à chacun des parents, annuellement, strictement le même nombre de jours de vacances, mais de faire en sorte que chacun puisse partager avec ses enfants des moments de loisirs et de fêtes, de manière aussi équilibrée que possible. Le fait que le nombre de semaines de vacances d’été passe désormais à sept au lieu de huit, a pour conséquence qu’une stricte répartition des jours reviendrait à partager l’une des semaines par moitié et à prévoir des périodes de trois semaines et demie en faveur de chaque parent. Or, dans le cas d’espèce, l’alternance de périodes de quinze jours semble convenir aux deux mineurs. Par ailleurs, le fait de procéder au partage par moitié d’une semaine ne paraît pas la solution la plus heureuse, puisqu’elle contraindrait les parents à interrompre, respectivement à débuter leur période de vacances le mercredi à midi, ce qui est notamment susceptible, durant la période estivale, de poser des problèmes en termes de location de logements ou de réservation d’hôtel. Il paraît dès lors davantage conforme à l’intérêt des enfants de continuer à prévoir, durant six semaines, l’alternance de périodes de deux semaines en faveur de chacun des parents, la septième semaine devant être</w:t>
      </w:r>
    </w:p>
    <w:p>
      <w:r>
        <w:t>- 15/19 -</w:t>
      </w:r>
    </w:p>
    <w:p>
      <w:r>
        <w:t>C/9468/2020-CS attribuée en alternance à l’un des parents, puis à l’autre. Ainsi, une année sur deux chaque parent bénéficiera de quatre semaines de vacances d’été avec les mineurs, mais devra se contenter de trois semaines l’année suivante. Au vu de ce qui précède, le chiffre 1 du dispositif de l’ordonnance attaquée doit être complété. Dans un souci de clarté, il sera annulé et intégralement reformulé. 2.2.2 B______, sans contester le maintien de la curatelle d’organisation et de surveillance du droit de visite, conclut au remplacement de l’une des curatrices, au motif que celle-ci serait, en substance, partiale. Les reproches formulés par le recourant à l’encontre de la curatrice ne trouvent toutefois aucun point d’ancrage objectif dans le dossier. Le fait que le dernier calendrier décisionnel fixant le droit de visite ait été adressé aux parties avec une quinzaine de jours de retard ne saurait constituer une faute grave de la curatrice; le retard pris dans la notification de ce calendrier n’a au demeurant pas impacté davantage B______ que A______. Pour le surplus, il a été établi, dans la partie EN FAIT ci-dessus, combien la tâche des curateurs est complexe, puisqu’ils sont, depuis leur nomination, confrontés à des parties qui ne parviennent pas à s’entendre, ni même à communiquer au sujet de leurs enfants, de sorte que l’organisation du droit de visite et de chaque période de vacances apparaît problématique et nécessite le prononcé d’un calendrier décisionnel. Dans ce contexte, d’éventuelles erreurs dans la confection des calendriers ne sauraient suffire à retenir l’existence d’une attitude partiale de la part de l’une des curatrices. Il ne saurait par ailleurs être reproché à cette dernière d’avoir appliqué strictement le principe selon lequel le parent non gardien doit en règle générale aller chercher et ramener l’enfant à sa demeure habituelle, les parents n’étant pas parvenus à se mettre d’accord sur une autre manière de procéder. Dès lors, rien ne justifie de relever l’une des curatrices de ses fonctions. La Cour rappellera par ailleurs aux parties la teneur des art. 82 ss LaCC et notamment celle de l'art. 83 al. 3, qui stipule que le mandat confié au Service de protection des mineurs n'excède pas deux ans. Il peut être prolongé en cas de nécessité, la durée de chaque prolongation ne pouvant excéder une année. Dans le cas d'espèce, le curateur d'organisation et de surveillance des relations personnelles a été nommé par ordonnance du 28 mai 2020, de sorte que la période de deux ans est arrivée à échéance il y a près d’une année. Les parties ne sauraient prétendre indéfiniment à la poursuite du mandat confié au Service étatique de protection des mineurs. Faute pour eux de parvenir, dans les meilleurs délais, à organiser seuls le droit de visite et ce dans l'intérêt bien compris de leurs enfants, il appartiendra au Tribunal de protection de désigner un curateur privé, dont les honoraires devront être pris en charge par les parties</w:t>
      </w:r>
    </w:p>
    <w:p>
      <w:r>
        <w:t>- 16/19 -</w:t>
      </w:r>
    </w:p>
    <w:p>
      <w:r>
        <w:t>C/9468/2020-CS et ce quelles que soient les autres mesures éventuelles de protection qui pourraient être prononcées en faveur des enfants. 2.2.3 Dans l’ordonnance attaquée, le Tribunal de protection a ordonné aux deux parents d’entreprendre une thérapie familiale. Les parties y sont opposées. Ces dernières vivent séparées depuis de nombreuses années. En dépit de l’écoulement du temps, elles ont toutefois démontré, pour l’instant, leur incapacité à collaborer et à se concerter pour l’organisation du droit de visite, alors même que les décisions judiciaires rendues ont fixé un cadre très précis pour l’exercice de celui-ci, de sorte qu’il suffirait de s’y conformer et de faire preuve, de part et d’autre, d’une certaine souplesse, qui permettrait de gérer les inévitables imprévus. Les parties et tout particulièrement le père, ont au contraire adopté une attitude rigide et inutilement chicanière, rendant toute concertation impossible. Dans un tel contexte, il ne paraît pas inutile que les parties se soumettent à une thérapie familiale, dans l’espoir que celle-ci les amène à reconsidérer leur attitude et à comprendre, alors qu’ils prétendent tous deux œuvrer dans l’intérêt de leurs enfants, combien leur attitude déraisonnable nuit à l’épanouissement de ceux-ci. La mesure ordonnée par le Tribunal de protection sera par conséquent confirmée. Il va toutefois de soi qu’une telle mesure n’est susceptible de produire des effets positifs que si la thérapie est investie par les parties. Si tel ne devait pas être le cas, le thérapeute en informera le Tribunal de protection, qui prendra toute autre mesure utile. 2.2.4 En l’état, il n’apparaît pas nécessaire d’ordonner une expertise familiale. Il s’agit là d’une mesure d’instruction particulièrement lourde et coûteuse, qui inclut généralement également les enfants et qui doit être réservée aux cas dans lesquels, notamment, il existe des doutes importants sur les compétences parentales. Dans le cas d’espèce, il semble que les deux parents sont à même, individuellement, de s’occuper de leurs enfants de manière adéquate, seule leur collaboration faisant totalement défaut, ce qui ne justifie pas de mettre en œuvre un processus d’une telle envergure. 2.2.5 Il n’apparaît pas davantage utile de soumettre les enfants à l’évaluation d’un psychologue, contrairement aux conclusions prises par le père, étant rappelé que ceux-ci bénéficient d’un suivi. Il appartient plutôt au recourant de comprendre que les problèmes rencontrés par ses enfants sont induits par le conflit parental et par sa propre attitude quérulente et déraisonnable, qu’il doit être en mesure de modifier. 2.2.6 Pour le surplus, il n’est pas de la compétence de la Chambre de surveillance de déterminer si les horaires de la thérapie suivie par l’enfant F______ doivent être modifiés afin de lui éviter de manquer des heures d’école. Il sera toutefois relevé que le mineur n’est âgé que de sept ans, de sorte que sa</w:t>
      </w:r>
    </w:p>
    <w:p>
      <w:r>
        <w:t>- 17/19 -</w:t>
      </w:r>
    </w:p>
    <w:p>
      <w:r>
        <w:t>C/9468/2020-CS scolarité ne devrait pas être compromise par le fait qu’il doit s’absenter quelques heures par semaine afin de voir son thérapeute. 2.2.7 En ce qui concerne la procédure de naturalisation des enfants, il n’apparaît pas que celle-ci, notamment compte tenu de leur âge, revête une importance et une urgence particulière. Il ne se justifie par conséquent pas d’ordonner au père de transférer à la mère le dossier de naturalisation des deux mineurs. Il appartient aux deux parents, détenteurs pour l’instant de l’autorité parentale conjointe, de prendre une décision commune concernant la naturalisation de leurs enfants, sans que l’intervention des autorités de protection n’apparaisse nécessaire, faute de mise en danger. Au vu de ce qui précède, le chiffre 8 du dispositif de l’ordonnance attaquée sera annulé.</w:t>
      </w:r>
    </w:p>
    <w:p>
      <w:r>
        <w:rPr>
          <w:b/>
        </w:rPr>
        <w:t>E. 3.1</w:t>
      </w:r>
    </w:p>
    <w:p>
      <w:r>
        <w:t>La procédure concernant les relations personnelles n’est pas gratuite (art. 77 LaCC et art. 54 RTFMC, lequel prévoit un émolument forfaitaire de décision fixé entre 300 fr. et 3’000 fr.). 3.2.1 En l’espèce, il appert que la procédure instruite par le Tribunal de protection a été générée par l’impossibilité des parties de s’accorder sur l’organisation du droit de visite du père, de sorte que ce dernier ne saurait prétendre à sa gratuité. L’émolument fixé par le premier juge est non seulement justifié, mais de surcroît particulièrement modéré au regard du travail fourni. Il ne saurait enfin être retenu que la part de frais mise à la charge du recourant, compte tenu de ses revenus, le placerait dans une situation difficile; il ne l’a d’ailleurs pas soutenu. Le chiffre 10 du dispositif de l’ordonnance attaquée sera dès lors confirmé. 3.2.2 Pour les mêmes raisons, la procédure de recours n’est pas gratuite. L’émolument de décision sera fixé à 900 fr., compte tenu du travail généré par les deux recours (art. 67A et 67 B RTFMC). Ces frais seront mis à la charge de A______ à hauteur de 300 fr. et de B______ à concurrence de 600 fr. compte tenu des nombreux points soulevés dans son recours et du fait qu’il n’a obtenu gain de cause que sur un point mineur. Les deux recourants seront condamnés à payer leur part respective de frais auprès de l’Etat de Genève. 3.2.3 Compte tenu de la nature de la cause, il ne se justifie pas d’allouer des dépens (art. 107 al. 1 let. c CPC). * * * * *</w:t>
      </w:r>
    </w:p>
    <w:p>
      <w:r>
        <w:t>- 18/19 -</w:t>
      </w:r>
    </w:p>
    <w:p>
      <w:r>
        <w:t>C/9468/2020-CS PAR CES MOTIFS, La Chambre de surveillance : A la forme : Déclare recevables les recours formés par A______ et B______ contre l’ordonnance DTAE/8610/2022 rendue le 18 octobre 2022 par le Tribunal de protection de l’adulte et de l’enfant dans la cause C/9468/2020. Au fond : Annule les chiffres 1 et 8 du dispositif de l’ordonnance attaquée. Cela fait, statuant à nouveau : Réserve à B______ un droit de visite sur les mineurs E______ et F______, nés respectivement le ______ 2012 et le ______ 2016, devant s’exercer, sauf accord contraire des parties, une semaine sur deux du jeudi à la sortie de l’école jusqu’au lundi matin retour à l’école, ainsi que durant la moitié des vacances scolaires. Dit que, sauf accord contraire des parties, les sept semaines de vacances scolaires d’été seront réparties entre les parties à raison de périodes successives de deux semaines en faveur de chaque parent, la septième semaine devant être attribuée alternativement à chaque parent une année sur deux, de manière à ce que, une année sur deux, chaque parent bénéficie de quatre semaines avec les enfants. Confirme l’ordonnance attaquée pour le surplus. Invite le Tribunal de protection à envisager le transfert de la curatelle d’organisation et de surveillance des relations personnelles à un curateur privé, dont les honoraires seront à la charge des parties. Sur les frais : Arrête l’émolument de décision de la procédure de recours à 900 fr. Le met à la charge de A______ à hauteur de 300 fr. et de B______ à concurrence de 600 fr. Condamne en conséquence A______ à payer 300 fr. à l’Etat de Genève, soit pour lui les Services financiers du Pouvoir judiciaire.</w:t>
      </w:r>
    </w:p>
    <w:p>
      <w:r>
        <w:t>- 19/19 -</w:t>
      </w:r>
    </w:p>
    <w:p>
      <w:r>
        <w:t>C/9468/2020-CS Condamne en conséquence B______ à payer 600 fr. à l’Etat de Genève, soit pour lui les Services financiers du Pouvoir judiciaire. Dit qu’il n’est pas alloué de dépens. Siégeant : Monsieur Cédric-Laurent MICHEL, président; Mesdames Paola CAMPOMAGNANI et Ursula ZEHETBAUER GHAVAMI,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