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DAS/90/2022 vom 7. Januar 2022</w:t>
      </w:r>
    </w:p>
    <w:p>
      <w:r>
        <w:t>GE Cour de justice, 2022-01-07, FR</w:t>
      </w:r>
    </w:p>
    <w:p>
      <w:r>
        <w:rPr>
          <w:b/>
        </w:rPr>
        <w:t xml:space="preserve">Quelle: </w:t>
      </w:r>
      <w:r>
        <w:t>https://mcp.opencaselaw.ch/entscheid/ge_gerichte_DAS_90_2022</w:t>
      </w:r>
    </w:p>
    <w:p>
      <w:r>
        <w:t>FR: GE_GERICHTE DAS/90/2022 du 7 janvier 2022</w:t>
      </w:r>
    </w:p>
    <w:p>
      <w:r>
        <w:t>IT: GE_GERICHTE DAS/90/2022 del 7 gennaio 2022</w:t>
      </w:r>
    </w:p>
    <w:p>
      <w:pPr>
        <w:pStyle w:val="Heading2"/>
      </w:pPr>
      <w:r>
        <w:t>Erwägungen</w:t>
      </w:r>
    </w:p>
    <w:p>
      <w:r>
        <w:rPr>
          <w:b/>
        </w:rPr>
        <w:t>E. 1.1</w:t>
      </w:r>
    </w:p>
    <w:p>
      <w:r>
        <w:t>Les décisions de l'autorité de protection de l'adulte peuvent faire l'objet d'un recours devant le juge compétent, qui dans le canton de Genève est la Chambre de surveillance de la Cour de justice (art. 450 al. 1 CC; 53 al. 1 LaCC). Ont qualité pour recourir, les personnes parties à la procédure (art. 450 al. 2 ch. 1 CC). Le délai de recours est de trente jours, à compter de la notification de la décision (art. 450b al. 1 CC).</w:t>
      </w:r>
    </w:p>
    <w:p>
      <w:r>
        <w:rPr>
          <w:b/>
        </w:rPr>
        <w:t>E. 1.2</w:t>
      </w:r>
    </w:p>
    <w:p>
      <w:r>
        <w:t>En l'espèce, le recours a été formé par une partie à la procédure, dans le délai utile de trente jours et devant l'autorité compétente. Il est donc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w:t>
      </w:r>
    </w:p>
    <w:p>
      <w:r>
        <w:t>- 5/7 -</w:t>
      </w:r>
    </w:p>
    <w:p>
      <w:r>
        <w:t>C/19856/2019-CS lieu l'intérêt de celui-ci (ATF 131 III 209 consid. 5). Il est en effet unanimement reconnu que le rapport de l'enfant avec ses deux parents est essentiel et qu'il peut jouer un rôle décisif dans le processus de sa recherche d'identité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du Tribunal fédéral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proportionnalité, il importe en outre que ce danger ne puisse être écarté par d'autres mesures appropriées (arrêts du Tribunal fédéral 5A_53/2017 du 23 mars 2017 consid. 5.1; 5A_756/2013 du 9 janvier 2014 consid. 5.1.2).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citées). Il convient dès lors de faire preuve d'une certaine retenue lors du choix de cette mesure (arrêts du Tribunal fédéral 5A_699/2017 du 24 octobre 2017 consid. 5.1; 5A_401/2014 du 18 août 2014 consid. 3.2.2; 5A_699/2007 du 26 février 2008 consid. 2.1).</w:t>
      </w:r>
    </w:p>
    <w:p>
      <w:r>
        <w:rPr>
          <w:b/>
        </w:rPr>
        <w:t>E. 2.2</w:t>
      </w:r>
    </w:p>
    <w:p>
      <w:r>
        <w:t>Dans le cas d'espèce, le règlement des relations personnelles n'est pas l'objet du recours. La recourante ne conteste que la levée de la mesure d'interdiction faite au père de quitter le territoire suisse en compagnie de l'enfant et la levée corollaire de l'inscription de celle-ci dans le système de recherches informatisées de police (RIPOL/SIS). S'il ressort de l'état de fait que par le passé, certaines circonstances avaient conduit au prononcé de la mesure en question, que la collaboration du père dans le cadre de l'exercice de son droit de visite n'apparaît pas excellente et que la motivation de</w:t>
      </w:r>
    </w:p>
    <w:p>
      <w:r>
        <w:t>- 6/7 -</w:t>
      </w:r>
    </w:p>
    <w:p>
      <w:r>
        <w:t>C/19856/2019-CS l'ordonnance attaquée sur le point précis contestée est pour le moins lapidaire, il doit être admis qu'à ce jour, et à teneur du dossier, les craintes de la mère de l'enfant, relayées par le SPMi, d'un risque d'enlèvement de l'enfant par le père lors de l'exercice d'un droit de visite ne ressortent pas de la procédure. Comme pour l'établissement d'un droit de visite surveillé, les principes dégagés à ce propos et rappelés ci-dessus doivent s'appliquer lorsqu'il s'agit de restreindre la liberté de mouvement du titulaire dudit droit et de faire inscrire un enfant dans les systèmes de recherches d'enfants enlevés de la police. Dans le cas présent, aucun élément récent et concret n'apparaît pouvoir soutenir la restriction de mouvement concernée par le recours. Les droits de visite, peu satisfaisants du fait des distances notamment, se déroulent néanmoins régulièrement. Les relations entre le père et l'enfant n'apparaissent pas, à teneur de dossier, particulièrement affectées et celles entre le père et la recourante compatibles avec la recherche de solutions comme celle trouvée lors de l'audience du Tribunal de protection. Par ailleurs aucune menace de départ à l'étranger ne ressort du dossier si ce n'est à une reprise une volonté affichée de rendre possiblement visite à la famille libanaise. Certes, la curatrice de l'enfant indique que celle-ci est fragile psychiquement et que les droits de visite à G______ sont pour elle déstabilisants, de sorte que la perspective d'un éventuel départ à l'étranger le serait d'autant plus. Force est d'admettre que ces raisons ne sont pas suffisantes, à elles seules et en l'absence d'élément concret, pour maintenir les mesures particulièrement incisives et applicables aux cas graves, et dans lesquels des éléments concrets de risque existent, que sont la restriction de la liberté de mouvement et l'inscription de l'enfant dans le système informatisé de recherche de la police. Dans ce sens, l'ordonnance du Tribunal de protection est non seulement proportionnée, mais conforme à la loi. Elle doit être confirmée par substitution de motifs.</w:t>
      </w:r>
    </w:p>
    <w:p>
      <w:r>
        <w:rPr>
          <w:b/>
        </w:rPr>
        <w:t>E. 3</w:t>
      </w:r>
    </w:p>
    <w:p>
      <w:r>
        <w:t>Dans la mesure où elle succombe, la recourante sera condamnée aux frais de la procédure, fixés à 400 fr., lesquels seront provisoirement et sous réserve de décision inverse du Service de l'assistance judiciaire, laissés à la charge de l'Etat. * * * * *</w:t>
      </w:r>
    </w:p>
    <w:p>
      <w:r>
        <w:t>- 7/7 -</w:t>
      </w:r>
    </w:p>
    <w:p>
      <w:r>
        <w:t>C/19856/2019-CS PAR CES MOTIFS, La Chambre de surveillance : A la forme : Déclare recevable le recours formé le 7 janvier 2022 par A______ contre l'ordonnance DTAE/6978/2021 rendue par le Tribunal de protection de l'adulte et de l'enfant le 12 octobre 2021 dans la cause C/19856/2019. Au fond : Le rejette. Sur les frais : Arrête les frais judiciaires de recours à 400 fr., les met à la charge de A______ et dit qu'ils sont provisoirement supportés par l'Etat de Genève, vu l'octroi de l'assistance judiciaire.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