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DAS/89/2025 vom 15. Mai 2025</w:t>
      </w:r>
    </w:p>
    <w:p>
      <w:r>
        <w:t>GE Cour de justice, 2025-05-15, FR</w:t>
      </w:r>
    </w:p>
    <w:p>
      <w:r>
        <w:rPr>
          <w:b/>
        </w:rPr>
        <w:t xml:space="preserve">Quelle: </w:t>
      </w:r>
      <w:r>
        <w:t>https://mcp.opencaselaw.ch/entscheid/ge_gerichte_DAS_89_2025</w:t>
      </w:r>
    </w:p>
    <w:p>
      <w:r>
        <w:t>FR: GE_GERICHTE DAS/89/2025 du 15 mai 2025</w:t>
      </w:r>
    </w:p>
    <w:p>
      <w:r>
        <w:t>IT: GE_GERICHTE DAS/89/2025 del 15 maggio 2025</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w:t>
      </w:r>
    </w:p>
    <w:p>
      <w:r>
        <w:rPr>
          <w:b/>
        </w:rPr>
        <w:t>E. 1.2</w:t>
      </w:r>
    </w:p>
    <w:p>
      <w:r>
        <w:t>En l’espèce, la succession comprend à tout le moins des liquidités d'une valeur d'environ 353'000 USD, de sorte que la voie de l’appel est ouverte. Interjeté en temps utile et selon la forme prescrite (art. 311 al. 1 CPC) par l’ensemble des héritiers de la succession, l’appel est recevable.</w:t>
      </w:r>
    </w:p>
    <w:p>
      <w:r>
        <w:rPr>
          <w:b/>
        </w:rPr>
        <w:t>E. 1.3</w:t>
      </w:r>
    </w:p>
    <w:p>
      <w:r>
        <w:t>Le juge établit les faits d'office (maxime inquisitoire, art. 255 let. b CPC). Les moyens de preuve sont limités à ceux qui sont immédiatement disponibles (HOHL, Procédure civile, tome II, 2ème éd., 2010, n. 1556, p. 283). La cognition du juge, qui revoit la cause en fait et en droit (art. 310 CPC), est limitée à la simple vraisemblance des faits et à un examen sommaire du droit (HOHL, op. cit., n. 1072 et 1554 et ss, p. 198 et 282).</w:t>
      </w:r>
    </w:p>
    <w:p>
      <w:r>
        <w:rPr>
          <w:b/>
        </w:rPr>
        <w:t>E. 2</w:t>
      </w:r>
    </w:p>
    <w:p>
      <w:r>
        <w:t>Les appelants reprochent à la Justice de paix d'avoir refusé de désigner un représentant à la communauté héréditaire, alors que la particularité du cas le justifiait.</w:t>
      </w:r>
    </w:p>
    <w:p>
      <w:r>
        <w:rPr>
          <w:b/>
        </w:rPr>
        <w:t>E. 2.1</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L'autorité ne peut désigner un représentant que si la communauté héréditaire dure encore et si la représentation n'est pas déjà assurée par un exécuteur testamentaire, un administrateur officiel ou un liquidateur officiel (SPAHR, CR-CC II, 2016, n. 71 ad art. 602 CC). La désignation d'un représentant de la communauté héréditaire jusqu'au partage, est une mesure ordonnée dans le cadre de la dévolution successorale (arrêt du Tribunal fédéral 5A_267/2012 du 21 novembre 2012 consid. 3.1).</w:t>
      </w:r>
    </w:p>
    <w:p>
      <w:r>
        <w:t>- 6/8 -</w:t>
      </w:r>
    </w:p>
    <w:p>
      <w:r>
        <w:t>Erreur ! Source du renvoi introuvable. L'autorité bénéficie d'un large pouvoir d'appréciation pour décider si elle accueille la requête favorablement ou non. Elle «peut», mais ne doit pas donner suite à la requête. Dans le cadre de cette appréciation, l’autorité doit apprécier les intérêts de la succession dans son ensemble, et non pas seulement ceux de certains héritiers, et examiner objectivement si une intervention paraît nécessaire. Si l’autorité parvient à la conclusion que la communauté héréditaire est incapable d’agir, son pouvoir d’appréciation prend fin et elle est objectivement tenue de désigner un représentant des héritiers (MINNIG, BSK ZGB II, 2023, n. 51 ad art. 602 CC).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(SPAHR, op. cit., n. 73 ad art. 602 CC; STEINAUER, Le droit des successions, 2015, n. 1223b; ROUILLER, Commentaire du droit des successions, 2ème éd., 2023, n. 94 ad art. 602 CC).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(SPAHR, op. cit., n. 73-74 ad art. 602 CC).</w:t>
      </w:r>
    </w:p>
    <w:p>
      <w:r>
        <w:rPr>
          <w:b/>
        </w:rPr>
        <w:t>E. 2.2</w:t>
      </w:r>
    </w:p>
    <w:p>
      <w:r>
        <w:t>En l'espèce, pour requérir la nomination d'un représentant de l'hoirie, les appelants se prévalent, non pas d'une mésentente entre eux, mais de l'impossibilité de recouvrer une partie de la succession se trouvant à l'étranger, l'Etat du pays concerné, soit les Etats-Unis, exigeant, selon eux, qu'un représentant à la communauté héréditaire soit désigné par l'autorité compétente de l'ouverture de la succession. Ils se réfèrent à cet égard au courrier du Service des biens non réclamés du Département des Finances de l'Etat du Delaware du 28 novembre 2023. Cela étant, bien qu'aucun représentant de la communauté héréditaire n'ait été désigné par la Justice de Paix depuis l'envoi de ce courrier, il apparaît, à teneur d'un courriel postérieur adressé le 8 février 2024 aux appelants par le Service des biens non réclamés, que ce dernier s'est malgré tout déclaré prêt à restituer aux appelants les fonds consignés par virement bancaire, sous réserve de la signature par les héritiers d'un formulaire d'accord, de décharge de responsabilité et de la fourniture des informations nécessaires en vue dudit virement. Selon les indications du Service des biens non réclamés, le libellé du compte bancaire à fournir par les appelants doit correspondre à celui de leur réclamation, laquelle a été formée à leurs trois noms. Ainsi, afin de respecter</w:t>
      </w:r>
    </w:p>
    <w:p>
      <w:r>
        <w:t>- 7/8 -</w:t>
      </w:r>
    </w:p>
    <w:p>
      <w:r>
        <w:t>Erreur ! Source du renvoi introuvable. l'exigence dudit service, le compte bancaire qui devra recevoir les fonds de la succession doit être ouvert à leurs trois noms, dans le même ordre que celui figurant sur la réclamation. Contrairement à ce qui ressort de l'appel, il n'apparait ainsi plus nécessaire à ce stade de désigner un représentant de la communauté héréditaire, le Service des biens non réclamés ne l'exigeant plus à la lecture de son courriel du 8 février 2024 précité. Or, les appelants n'ont pas démontré ou allégué avoir ouvert en Suisse un compte bancaire à leurs trois noms aux fins de recevoir les fonds que l'Etat du Delaware est prêt à leur verser, ni proposé de recevoir lesdits fonds sur un compte ouvert au nom de la succession, lequel serait par hypothèse encore existant. A fortiori, ils n'ont pas non plus prouvé, ni même allégué, avoir transmis au Service des biens non réclamés les coordonnées d'un compte bancaire suisse conforme aux conditions susmentionnées, ni que ledit service aurait refusé de procéder au virement des fonds consignés sur un tel compte. Objectivement, les appelants n'ont ainsi pas démontré avoir entrepris toutes les démarches possibles pour obtenir la restitution des fonds par le Service des biens non réclamés. En conséquence, la désignation d'un représentant de la communauté héréditaire ne se justifie pas. Le grief est infondé et la décision entreprise sera donc confirmée.</w:t>
      </w:r>
    </w:p>
    <w:p>
      <w:r>
        <w:rPr>
          <w:b/>
        </w:rPr>
        <w:t>E. 3</w:t>
      </w:r>
    </w:p>
    <w:p>
      <w:r>
        <w:t>Les frais judiciaires seront arrêtés à 500 fr. (art. 26 et 35 RTFMC), mis conjointement et solidairement à la charge des appelants qui succombent (art. 106 al. 1 CPC), et compensés avec l'avance de frais versée, laquelle demeure acquise à l'Etat de Genève (art. 111 al. 1 CPC). Il n'est pas alloué de dépens. * * * * *</w:t>
      </w:r>
    </w:p>
    <w:p>
      <w:r>
        <w:t>- 8/8 -</w:t>
      </w:r>
    </w:p>
    <w:p>
      <w:r>
        <w:t>Erreur ! Source du renvoi introuvable. PAR CES MOTIFS, La Chambre civile : A la forme : Déclare recevable l'appel formé le 30 avril 2024 par A______, B______ et C______ contre la décision DJP/497/2024 rendue le 19 avril 2024 par la Justice de paix dans la cause C/16308/2015. Au fond : Le rejette. Sur les frais : Arrête les frais judiciaires à 500 fr., les met, conjointement et solidairement, à la charge de A______, B______ et C______ et les compense avec l'avance de frais effectuée, laquelle demeure acquise à l'Etat de Genève. Dit qu'il n'est pas alloué de dépens.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