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DAS/89/2021 vom 8. Januar 2021</w:t>
      </w:r>
    </w:p>
    <w:p>
      <w:r>
        <w:t>GE Cour de justice, 2021-01-08, FR</w:t>
      </w:r>
    </w:p>
    <w:p>
      <w:r>
        <w:rPr>
          <w:b/>
        </w:rPr>
        <w:t xml:space="preserve">Quelle: </w:t>
      </w:r>
      <w:r>
        <w:t>https://mcp.opencaselaw.ch/entscheid/ge_gerichte_DAS_89_2021</w:t>
      </w:r>
    </w:p>
    <w:p>
      <w:r>
        <w:t>FR: GE_GERICHTE DAS/89/2021 du 8 janvier 2021</w:t>
      </w:r>
    </w:p>
    <w:p>
      <w:r>
        <w:t>IT: GE_GERICHTE DAS/89/2021 del 8 gennaio 2021</w:t>
      </w:r>
    </w:p>
    <w:p>
      <w:pPr>
        <w:pStyle w:val="Heading2"/>
      </w:pPr>
      <w:r>
        <w:t>Erwägungen</w:t>
      </w:r>
    </w:p>
    <w:p>
      <w:r>
        <w:rPr>
          <w:b/>
        </w:rPr>
        <w:t>E. 21</w:t>
      </w:r>
    </w:p>
    <w:p>
      <w:r>
        <w:t>juillet 2020 n'était plus applicable, en raison du fait que le mineur ne fréquentait plus la crèche le lundi après-midi. Il était par conséquent envisageable de remplacer les deux soirées des lundis et mardis par une nuit supplémentaire chez le père. La mère s'est opposée à cette solution. Le père a précisé qu'il ne sollicitait pas une garde partagée, mais un jour de plus durant la semaine. Pour le surplus, il a contesté avoir laissé H______ seul sans surveillance.</w:t>
      </w:r>
    </w:p>
    <w:p>
      <w:r>
        <w:t>La cause a été gardée à juger à l'issue de l'audience. B. Par ordonnance DTAE/7166/2020 du 26 octobre 2020, le Tribunal de protection a instauré l'autorité parentale conjointe de A______ et B______ sur le mineur H______, né le ______ 2016 (chiffre 1 du dispositif), instauré une garde alternée sur le mineur, celui-ci devant se trouver chez son père chaque semaine du mardi auprès la crèche jusqu'au jeudi matin retour à la crèche, un week-end sur deux du vendredi 19h00 jusqu'au dimanche 19h00, ainsi que durant la moitié des vacances scolaires (ch. 2), dit que le domicile légal du mineur est chez sa mère (ch. 3), attribué à chacun des parents, à parts égales, la bonification pour tâches éducatives</w:t>
      </w:r>
    </w:p>
    <w:p>
      <w:r>
        <w:t>- 5/12 -</w:t>
      </w:r>
    </w:p>
    <w:p>
      <w:r>
        <w:t>C/1770/2020-CS de l'AVS (ch. 4), instauré un droit de regard et d'information (ch. 5), désigné une intervenante en protection de l'enfant, ainsi qu'un suppléant, aux fonctions de surveillants (ch. 6) et débouté les parties de toutes autres conclusions (ch. 7). Le Tribunal de protection a retenu, en substance, que les compétences des deux parents semblaient similaires, les quelques négligences de la part du père, telles qu'évoquées par la mère, semblant, sans préjudice de leur établissement, ponctuelles, anciennes et relever davantage du conflit parental que de véritables carences propres au père dans la prise en charge de l'enfant. Le père avait par ailleurs une grande disponibilité, dont le mineur devait pouvoir bénéficier. Le droit de visite dont il disposait déjà était conséquent et l'élargissement envisagé ne compromettait pas la stabilité de l'enfant. C. a) Le 8 janvier 2021, A______ a formé recours contre l'ordonnance du 26 octobre 2020, reçue le 11 décembre 2020, concluant à l'annulation des chiffres 2, 3 et 4 de son dispositif et cela fait à l'attribution à elle-même de la garde exclusive de l'enfant H______, à ce qu'un droit de visite soit accordé au père, dont les modalités devaient être fixées par le Service d'évaluation et d'accompagnement de la séparation parentale, à ce qu'une curatelle d'organisation et de surveillance du droit de visite soit instaurée, les frais de la procédure devant être mis à la charge de l'Etat. La recourante a allégué que B______ prétendait s'investir dans l'éducation et la prise en charge de son fils, alors qu'il se rendait régulièrement au Nigéria pour une durée minimale d'un mois et qu'il "menaçait" de s'établir définitivement dans son pays d'origine ou au Canada. Depuis la naissance de l'enfant, la recourante l'avait pris en charge de manière quasi-exclusive. En outre, le père s'était dit prêt à retrouver un emploi à plein temps dans le domaine financier, ce qui était incompatible avec une prise en charge alternée du mineur. Selon les spécialistes, ce dernier avait des besoins spécifiques dans les domaines du développement de la pensée, de la communication et de l'activité, de sorte que son intérêt et son bien- être commandaient que sa prise en charge ne soit pas modifiée, ce qui correspondait aux conclusions contenues dans le rapport du Service d'évaluation et d'accompagnement de la séparation parentale. Enfin, la communication entre les parents était problématique. b) Le Tribunal de protection a persisté dans les termes de l'ordonnance attaquée. c) Dans ses observations du 12 février 2021, le Service d'évaluation et d'accompagnement de la séparation parentale a persisté dans les conclusions de son préavis du 21 juillet 2020. Il a souligné le fait que l'enjeu principal était de conjuguer soutien au développement du mineur et stabilité de celui-ci "à travers une posture coparentale commune centrée sur lui". d) Dans sa réponse du 2 mars 2021, B______ a conclu au rejet du recours.</w:t>
      </w:r>
    </w:p>
    <w:p>
      <w:r>
        <w:t>- 6/12 -</w:t>
      </w:r>
    </w:p>
    <w:p>
      <w:r>
        <w:t>C/1770/2020-CS e) Par avis du 5 mars 2021 du greffe de la Cour, les parties ont été informées de ce que la cause serait mise en délibération à l'échéance d'un délai de dix jours.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2.1.1 Lorsqu'elle statue sur l'autorité parentale, l'autorité de protection de l'enfant règle également les autres points litigieux, l'action alimentaire étant réservée (art. 298b al. 3 CC). Les nouvelles dispositions du Code civil relatives à l'autorité parentale sont entrées en vigueur le 1er juillet 2014 (RO 2014 357). Contrairement à ce qui prévalait précédemment, l'attribution de l'autorité parentale conjointe aux parents divorcés (art. 133 CC) ou non mariés (art. 298a CC) est désormais la règle (HAUSHEER/GEISER/AEBI-MÜLLER, Das Familienrecht des Schweizerischen Zivilgasetzbuches, 5e éd. Berne 2014, n° 10.135 p. 188), sans qu'un accord des parents sur ce point ne soit nécessaire.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w:t>
      </w:r>
    </w:p>
    <w:p>
      <w:r>
        <w:rPr>
          <w:b/>
        </w:rPr>
        <w:t>E. 26</w:t>
      </w:r>
    </w:p>
    <w:p>
      <w:r>
        <w:t>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 En matière d'attribution des droits parentaux, le bien de l'enfant constitue la règle fondamentale (ATF 141 III 328 consid. 5.4), les intérêts des parents devant être relégués au second plan (ATF 131 III 209 consid. 5). Lorsque le juge détermine</w:t>
      </w:r>
    </w:p>
    <w:p>
      <w:r>
        <w:t>- 7/12 -</w:t>
      </w:r>
    </w:p>
    <w:p>
      <w:r>
        <w:t>C/1770/2020-CS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(arrêt 5A_904/2015 du 29 septembre 2016 consid. 3.2.3 destiné à la publication).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5A_450/2016 du 4 octobre 2016 consid. 4.3.1 et les arrêts cités, particulièrement l'arrêt 5A_904/2015 du 29 septembre 2016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(arrêt 5A_904/2015 du 29 septembre 2016 consid. 3.2.4).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w:t>
      </w:r>
    </w:p>
    <w:p>
      <w:r>
        <w:t>- 8/12 -</w:t>
      </w:r>
    </w:p>
    <w:p>
      <w:r>
        <w:t>C/1770/2020-CS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2.2.1 Dans le cas d'espèce, l'autorité parentale conjointe n'a pas été remise en cause devant la Chambre de surveillance, de sorte qu'elle est acquise, ce d'autant plus qu'elle ne paraît pas être contraire à l'intérêt de l'enfant. Les deux parents, au- delà de leurs divergences, disposent en effet de bonnes compétences parentales et sont impliqués dans le suivi et la prise en charge du mineur, ainsi que soucieux de son bon développement. 2.2.2 Seule l'attribution aux deux parties de la garde alternée sur leur fils est contestée par la recourante. L'application des modalités fixées dans l'ordonnance litigieuse aboutirait au résultat que l'enfant passerait un nombre à peu près équivalent de nuits chez son père et chez sa mère; il convient de déterminer si cette prise en charge est conforme à son intérêt. Il ressort du rapport d'évaluation sociale du 21 juillet 2020 que le mineur H______ présente un retard du développement, pour lequel il fait l'objet d'un suivi régulier. A la fin de l'été, il quittera la crèche pour intégrer un établissement scolaire, sans que ledit établissement soit encore connu; celui-ci devrait en principe se trouver dans le quartier 3______, où vit sa mère, auprès de laquelle il est domicilié. La situation du mineur est par conséquent destinée à évoluer dans le courant de ces prochains mois. Il en va de même s'agissant de la situation de B______. En effet, si celui-ci est actuellement sans emploi, un tel état ne saurait toutefois perdurer indéfiniment, compte tenu notamment de son devoir d'entretien à l'égard de son enfant. Il découle de ce qui précède que la disponibilité actuelle de B______ n'est que momentanée. En l'état, celui-ci vit par ailleurs dans un logement provisoire, dont le lieu de situation est peu clair, ses courriers faisant état du 13 rue 1______ ou mentionnant le 4, rue 5______, sans autre explication utile. Quoiqu'il en soit et selon ce qui ressort du rapport d'évaluation sociale, B______ occupe actuellement un studio. Quand bien même ce logement a été aménagé pour y accueillir un enfant, il n'en demeure pas moins qu'il ne permet pas au mineur de disposer d'une véritable chambre et d'y être confortablement installé. B______ sera par ailleurs amené à devoir trouver un nouveau domicile, plus pérenne, sans qu'il soit possible, à ce stade, de savoir s'il se trouvera, ou pas, à proximité du lieu de vie de la recourante et de l'école que fréquentera l'enfant. S'ajoute à cette situation évolutive le fait que les relations entre les parents demeurent tendues et qu'ils parviennent difficilement à organiser la prise en charge de leur fils, ces différents éléments n'étant, à priori, pas favorables à la mise en œuvre d'une garde alternée, même si les deux parties présentent individuellement de bonnes capacités parentales.</w:t>
      </w:r>
    </w:p>
    <w:p>
      <w:r>
        <w:t>- 9/12 -</w:t>
      </w:r>
    </w:p>
    <w:p>
      <w:r>
        <w:t>C/1770/2020-CS Le Service d'évaluation et d'accompagnement de la séparation parentale a d'ailleurs préconisé, dans son rapport du 21 juillet 2020, l'attribution de la garde de fait de l'enfant à sa mère et l'octroi d'un large droit de visite au père. Ledit service a notamment relevé que si, certes, une garde alternée pouvait être considérée comme une solution particulièrement profitable pour assurer le meilleur accès de l'enfant aux ressources de ses deux parents, une telle modalité de prise en charge nécessitait d'être organisée dans un contexte stable et durable, en fonction des besoins de l'enfant, encore très jeune. Par ailleurs, dans une telle hypothèse, l'ampleur de l'effort d'adaptation qui serait demandé à l'enfant était inconnue, de sorte qu'il semblait hasardeux de conclure en faveur d'une garde alternée. Le représentant du Service d'évaluation et d'accompagnement de la séparation parentale, entendu par le Tribunal de protection le 26 octobre 2020, a certes indiqué qu'il était envisageable de remplacer les deux soirées de droit de visite préconisées dans le rapport du 21 juillet 2020 par une nuit supplémentaire chez le père. Les raisons ayant motivé cette modification des recommandations initiales n'apparaissent toutefois guère convaincantes et semblent faire fi de l'analyse à laquelle s'était pourtant livré ledit service dans son rapport initial. Il sera par ailleurs relevé que dans ses observations adressées à la Chambre de surveillance, le même service a finalement déclaré maintenir l'ensemble de son préavis du 21 juillet 2020. De l'avis de la Chambre de surveillance, compte tenu du jeune âge de l'enfant et de la situation encore largement évolutive sur plusieurs plans, il paraît prématuré de prévoir, à ce stade déjà, une garde alternée, avec le risque qu'elle ne puisse être maintenue sur le long, voire même sur le moyen terme, ce qui serait préjudiciable pour la stabilité du mineur. S'il paraît certes essentiel pour le bon développement de l'enfant de lui permettre d'avoir un large accès à son père, il n'apparaît en revanche pas essentiel qu'il partage, de manière quasiment égale, son temps entre ses deux parents. Au vu de ce qui précède, la garde du mineur sera attribuée à la mère, qui s'en est principalement occupée depuis la séparation des parties et un droit de visite devant s'exercer, sauf accord contraire des parents, un soir par semaine jusqu'au lendemain matin (soit en l'état le mercredi à la sortie de la crèche jusqu'au jeudi matin retour à la crèche), un week-end sur deux du vendredi 18h00 jusqu'au dimanche 18h00 et durant la moitié des vacances scolaires, sera réservé au père. La bonification pour tâches éducatives de l'AVS sera par conséquent intégralement attribuée à la recourante. Les chiffres 2 et 4 du dispositif de l'ordonnance attaquée seront annulés et il sera statué conformément à ce qui précède. Il ne se justifie pas d'annuler le chiffre 3 qui n'est pas contraire à la solution ainsi adoptée, puisque le domicile légal du mineur sera effectivement auprès de sa mère.</w:t>
      </w:r>
    </w:p>
    <w:p>
      <w:r>
        <w:t>- 10/12 -</w:t>
      </w:r>
    </w:p>
    <w:p>
      <w:r>
        <w:t>C/1770/2020-CS 3. Les frais judiciaires de la procédure de recours, arrêtés à 400 fr. (art. 67A et 67B RTFMC), seront mis à la charge de B______, qui succombe (art. 106 al. 1 CPC). Ils seront compensés avec l'avance versée par la recourante, qui reste acquise à l'Etat de Genève (art. 111 al. 1 CPC).</w:t>
      </w:r>
    </w:p>
    <w:p>
      <w:r>
        <w:t>B______ sera, en conséquence, condamné à verser la somme de 400 fr. à la recourante, à titre de remboursement des frais judiciaires.</w:t>
      </w:r>
    </w:p>
    <w:p>
      <w:r>
        <w:t>Il ne sera pas alloué de dépens, compte tenu de la nature familiale du litige (art. 107 al. 1 let. c CPC). * * * * *</w:t>
      </w:r>
    </w:p>
    <w:p>
      <w:r>
        <w:t>- 11/12 -</w:t>
      </w:r>
    </w:p>
    <w:p>
      <w:r>
        <w:t>C/1770/2020-CS PAR CES MOTIFS, La Chambre de surveillance : A la forme : Déclare recevable le recours formé par A______ contre l'ordonnance DTAE/7166/2020 du 26 octobre 2020 rendue par le Tribunal de protection de l'adulte et de l'enfant dans la cause C/1770/2020. Au fond : Annule les chiffres 2 et 4 du dispositif de l'ordonnance attaquée et statuant à nouveau sur ces points: Attribue à A______ la garde du mineur H______, né le ______ 2016. Réserve à B______ un droit de visite sur l'enfant, lequel s'exercera, sauf accord contraire des parties, un soir par semaine jusqu'au lendemain matin (soit en l'état le mercredi à la sortie de la crèche jusqu'au jeudi matin retour à la crèche), un week-end sur deux du vendredi 18h00 jusqu'au dimanche 18h00 et durant la moitié des vacances scolaires. Attribue à A______ l'entier de la bonification pour tâches éducatives de l'AVS. Confirme l'ordonnance attaquée pour le surplus. Sur les frais : Arrête les frais judiciaires du recours à 400 fr., les compense avec l'avance de frais versée par la recourante, qui reste acquise à l'Etat de Genève et les met à la charge de B______. Condamne en conséquence B______ à verser à A______ la somme de 400 fr. Dit qu'il n'est pas alloué de dépens. Siégeant : Monsieur Cédric-Laurent MICHEL, président; Mesdames Paola CAMPOMAGNANI et Jocelyne DEVILLE-CHAVANNE, juges; Madame Jessica QUINODOZ, greffière.</w:t>
      </w:r>
    </w:p>
    <w:p>
      <w:r>
        <w:t>Indication des voies de recours :</w:t>
      </w:r>
    </w:p>
    <w:p>
      <w:r>
        <w:t>- 12/12 -</w:t>
      </w:r>
    </w:p>
    <w:p>
      <w:r>
        <w:t>C/1770/2020-CS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