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DAS/86/2025 vom 22. November 2024</w:t>
      </w:r>
    </w:p>
    <w:p>
      <w:r>
        <w:t>GE Cour de justice, 2024-11-22, FR</w:t>
      </w:r>
    </w:p>
    <w:p>
      <w:r>
        <w:rPr>
          <w:b/>
        </w:rPr>
        <w:t xml:space="preserve">Quelle: </w:t>
      </w:r>
      <w:r>
        <w:t>https://mcp.opencaselaw.ch/entscheid/ge_gerichte_DAS_86_2025</w:t>
      </w:r>
    </w:p>
    <w:p>
      <w:r>
        <w:t>FR: GE_GERICHTE DAS/86/2025 du 22 novembre 2024</w:t>
      </w:r>
    </w:p>
    <w:p>
      <w:r>
        <w:t>IT: GE_GERICHTE DAS/86/2025 del 22 novembre 2024</w:t>
      </w:r>
    </w:p>
    <w:p>
      <w:pPr>
        <w:pStyle w:val="Heading2"/>
      </w:pPr>
      <w:r>
        <w:t>Erwägungen</w:t>
      </w:r>
    </w:p>
    <w:p>
      <w:r>
        <w:rPr>
          <w:b/>
        </w:rPr>
        <w:t>E. 1.1</w:t>
      </w:r>
    </w:p>
    <w:p>
      <w:r>
        <w:t>Les dispositions de la procédure devant l'autorité de protection de l'adulte sont applicables pour les mesures de protection de l'enfant (art. 314 al. 1 CC). Les décisions de l'autorité de protection peuvent faire l'objet d'un recours (art. 450 al. 1 CC) dans le délai de trente jours à compter de la notification de la décision</w:t>
      </w:r>
    </w:p>
    <w:p>
      <w:r>
        <w:t>- 4/7 -</w:t>
      </w:r>
    </w:p>
    <w:p>
      <w:r>
        <w:t>C/17309/2021-CS (art. 450b al. 1 CC) devant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par la personne concernée par la décision litigieuse, qui dispose de la qualité pour recourir, dans le délai de trente jours dès sa prise de connaissance de la décision, de sorte que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2.1.1</w:t>
      </w:r>
    </w:p>
    <w:p>
      <w:r>
        <w:t>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consid. 8 et JdT 1993 I 264; ATF 122 I 97 consid. 3a/aa; ATF 127 II 32 consid. 3g et réf., JdT 2004 I 131).</w:t>
      </w:r>
    </w:p>
    <w:p>
      <w:r>
        <w:rPr>
          <w:b/>
        </w:rPr>
        <w:t>E. 2.1.2</w:t>
      </w:r>
    </w:p>
    <w:p>
      <w:r>
        <w:t>Aussi souvent que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in CommFam, Protection de l'adulte, 2013, n. 1 et 6 ad art. 415 CC).</w:t>
      </w:r>
    </w:p>
    <w:p>
      <w:r>
        <w:t>- 5/7 -</w:t>
      </w:r>
    </w:p>
    <w:p>
      <w:r>
        <w:t>C/17309/2021-CS</w:t>
      </w:r>
    </w:p>
    <w:p>
      <w:r>
        <w:rPr>
          <w:b/>
        </w:rPr>
        <w:t>E. 2.1.3</w:t>
      </w:r>
    </w:p>
    <w:p>
      <w:r>
        <w:t>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Dans les situations pouvant concerner des adultes ou des enfants, le juge du Tribunal de protection est compétent pour fixer la rémunération du curateur ou du tuteur (art. 404 al. 2 CC) (art. 5 al. 1 let. w LaCC). Selon l'art. 4 al. 1 du Règlement fixant la rémunération des curateurs du 27 février 2013, entré en vigueur le 6 mars 2023 (RS/GE E1 05.15, ci-après: RRC), le curateur soumet sa facture à l'appréciation du tribunal en même temps que son rapport périodique ou final. Les rapport et comptes étant en général remis tous les deux ans, la rémunération du curateur est fixée selon la même fréquence (art. 7.1 du Guide pratique de la curatrice ou du curateur). L'état détaillé des frais et honoraires du curateur remis à cette occasion doit respecter les règles indiquées à l'art. 7.3 de ce document. En cours d'exercice du mandat, le curateur peut solliciter auprès du tribunal l'autorisation de percevoir une provision (art. 4 al. 2 RRC). Lorsque la curatrice ou le curateur a déployé une activité d’au moins 5'000 fr. ou qu’il s’est écoulé au moins un an depuis la dernière indemnisation ou autorisation d’avance, elle ou il peut solliciter du tribunal l’autorisation de prélever une avance sur les biens de la personne protégée. A cette fin, il doit employer obligatoirement les formulaires disponibles sur le site de l’Etat. Ces avances sont à mentionner sur l’état de frais déposé avec les rapport et comptes suivants (Guide pratique de la curatrice ou du curateur – art. 7.3.8; cf. DAS/307/2024 du 20 décembre 2024 consid. 2.1.2; DAS/291/2024 du 12 décembre 2024 consid. 2.1.3).</w:t>
      </w:r>
    </w:p>
    <w:p>
      <w:r>
        <w:rPr>
          <w:b/>
        </w:rPr>
        <w:t>E. 2.2</w:t>
      </w:r>
    </w:p>
    <w:p>
      <w:r>
        <w:t>En l'espèce, en l'absence de rapport et comptes intermédiaires, lesquels ne devaient, à juste titre, pas être fournis par la curatrice puisqu'elle n'avait pas encore effectué une période d'activité initiale de deux ans, le Tribunal de protection se trouvait dans l'impossibilité de contrôler l'activité déployée par elle et, par voie de conséquence, d'arrêter ses honoraires. La "note d'honoraires" adressée par la curatrice au Tribunal de protection le 26 septembre 2024 ne pouvait dès lors pas être considérée comme définitive. C'est ainsi à raison que le Tribunal de protection a considéré qu'il s'agissait d'une demande d'avance sur indemnisation ou provision et l'a traitée comme telle. A cet égard, le fait que la curatrice n'ait possiblement pas utilisé le formulaire "d'avance sur indemnisation" – rien de tel ne ressortant de la procédure – est en tout état sans</w:t>
      </w:r>
    </w:p>
    <w:p>
      <w:r>
        <w:t>- 6/7 -</w:t>
      </w:r>
    </w:p>
    <w:p>
      <w:r>
        <w:t>C/17309/2021-CS incidence dès lors que sa "note d'honoraires" du 26 septembre 2024 comportait tous les éléments utiles à l'examen de sa demande. Dans les causes C/14812/2022, C/29011/2018 et C/14280/2023 ayant donné lieu aux décisions de la Chambre de céans DAS/64/2024 du 12 mars 2024, DAS/107/2024 du 30 avril 2024, et DAS/105/2024 du 2 mai 2024, la rémunération du curateur avait été fixée et l'autorisation de prélèvement octroyée non pas par le juge du Tribunal de protection mais par un employé ou fonctionnaire du secteur du contrôle de cette juridiction, ce qui a été considéré par la Chambre de céans contraire aux art. 404 al. 2 CC et 5 al. 1 let. w LaCC, de sorte que la nullité des décisions de taxation a été constatée. Bien que les décisions précitées aient trait à la taxation de notes d'honoraires finales, il convient, par analogie, d'appliquer un raisonnement identique aux décisions d'avance sur indemnisation, lesquelles doivent en conséquence également être rendues par un juge du Tribunal de protection. La décision d'octroi d'une provision (ou avance sur indemnisation) relevant, à l'instar de celle relative à la fixation de la rémunération, de la compétence du Tribunal de protection, il ne se justifie ainsi pas d'autoriser que celle-ci soit rendue par un employé ou fonctionnaire du secteur du contrôle. La nullité de la décision attaquée, rendue par une personne incompétente, sera par conséquent constatée et la cause retournée au Tribunal de protection pour nouvelle décision, sans autre examen.</w:t>
      </w:r>
    </w:p>
    <w:p>
      <w:r>
        <w:rPr>
          <w:b/>
        </w:rPr>
        <w:t>E. 3</w:t>
      </w:r>
    </w:p>
    <w:p>
      <w:r>
        <w:t>Compte tenu de l'issue de la procédure de recours, les frais judiciaires, arrêtés à 400 fr., seront laissés à la charge de l'Etat de Genève. Seuls les frais judiciaires, par opposition aux frais qui comprennent les frais judiciaires et les dépens, pouvant être mis à la charge du canton, si l'équité l'exige, selon l'art. 107 al. 2 CPC, il ne sera pas alloué de dépens à la recourante (arrêt du Tribunal fédéral 5A_619/2015 consid. 3). * * * * *</w:t>
      </w:r>
    </w:p>
    <w:p>
      <w:r>
        <w:t>- 7/7 -</w:t>
      </w:r>
    </w:p>
    <w:p>
      <w:r>
        <w:t>C/17309/2021-CS PAR CES MOTIFS, La Chambre de surveillance : A la forme : Déclare recevable le recours formé le 22 novembre 2024 par A______ contre la décision TXTAE/35/2024 rendue le 27 septembre 2024 par une fonctionnaire ou employée du Secteur de contrôle du Tribunal de protection de l'adulte et de l'enfant dans la cause C/17309/2021. Au fond : Constate la nullité de cette décision et cela fait: Retourne la cause au Tribunal de protection de l'adulte et de l'enfant pour nouvelle décision dans le sens des considérants. Sur les frais : Laisse les frais de la procédure de recours, en 400 fr., à la charge de l'Etat de Genève. Dit qu'il n'est pas alloué de dépens. Siégeant : Madame Jocelyne DEVILLE-CHAVANNE, présidente; Monsieur Cédric-Laurent MICHEL et Madame Paola CAMPOMAGNANI,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