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DAS/85/2025 vom 9. Dezember 2025</w:t>
      </w:r>
    </w:p>
    <w:p>
      <w:r>
        <w:t>GE Cour de justice, 2025-12-09, FR</w:t>
      </w:r>
    </w:p>
    <w:p>
      <w:r>
        <w:rPr>
          <w:b/>
        </w:rPr>
        <w:t xml:space="preserve">Quelle: </w:t>
      </w:r>
      <w:r>
        <w:t>https://mcp.opencaselaw.ch/entscheid/ge_gerichte_DAS_85_2025</w:t>
      </w:r>
    </w:p>
    <w:p>
      <w:r>
        <w:t>FR: GE_GERICHTE DAS/85/2025 du 9 décembre 2025</w:t>
      </w:r>
    </w:p>
    <w:p>
      <w:r>
        <w:t>IT: GE_GERICHTE DAS/85/2025 del 9 dicembre 2025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Le recourant fait grief au Tribunal de protection de ne pas avoir ordonné une expertise du groupe familial.</w:t>
      </w:r>
    </w:p>
    <w:p>
      <w:r>
        <w:rPr>
          <w:b/>
        </w:rPr>
        <w:t>E. 2.1</w:t>
      </w:r>
    </w:p>
    <w:p>
      <w:r>
        <w:t>L'autorité de protection de l'adulte établit les faits d'office (art. 446 al. 1 CC). Elle procède à la recherche et à l'administration des preuves nécessaires. Elle peut charger une tierce personne ou un service d'effectuer une enquête. Si nécessaire, elle ordonne un rapport d'expertise (art. 446 al. 2 CC).</w:t>
      </w:r>
    </w:p>
    <w:p>
      <w:r>
        <w:rPr>
          <w:b/>
        </w:rPr>
        <w:t>E. 2.2</w:t>
      </w:r>
    </w:p>
    <w:p>
      <w:r>
        <w:t>En l'espèce, c'est à juste titre que le Tribunal de protection a considéré qu'il n'était pas nécessaire de solliciter une expertise du groupe familial. Une telle mesure est en effet particulièrement longue, les rapports d'expertise étant généralement déposés dans un délai supérieur à six mois, coûteuse (honoraires des experts compris entre 15'000 fr. et 20'000 fr., voire davantage) et particulièrement incisive, les experts procédant à une analyse complète du fonctionnement des différents membres du groupe familial. Compte tenu des caractéristiques qui viennent d'être rappelées, une telle mesure d'instruction doit être réservée aux situations extrêmes, en particulier lorsque des doutes sérieux existent sur la capacité de l'un ou l'autre des parents, voire des deux, à prendre en charge leurs enfants de manière adéquate. Or, tel n'est pas le cas dans la présente procédure, les capacités parentales, y compris celles du recourant, n'étant pas remises en cause en tant que telles. La mineure vit par ailleurs depuis de nombreuses années au</w:t>
      </w:r>
    </w:p>
    <w:p>
      <w:r>
        <w:t>- 12/15 -</w:t>
      </w:r>
    </w:p>
    <w:p>
      <w:r>
        <w:t>C/27028/2014-CS centre de la mésentente parentale, laquelle a des répercussions négatives sur son bien-être; elle est suivie par une thérapeute et a été entendue par le SEASP. Ordonner une expertise du groupe familial aurait pour conséquence de nécessiter à nouveau son audition et de générer ainsi un stress supplémentaire, qu'il y a lieu d'éviter. Enfin et contrairement à ce que semble penser le recourant, il n'apparaît pas nécessaire de déterminer s'il est, ou pas, un père rigide et contrôlant. L'essentiel n'est pas de définir précisément la personnalité du recourant, mais de faire en sorte qu'en dépit de la manière dont sa fille le perçoit, tous deux puissent renouer puis entretenir des relations régulières et bénéfiques pour l'adolescente.</w:t>
      </w:r>
    </w:p>
    <w:p>
      <w:r>
        <w:t>Au vu de ce qui précède, le recourant sera débouté de ses conclusions sur ce point.</w:t>
      </w:r>
    </w:p>
    <w:p>
      <w:r>
        <w:rPr>
          <w:b/>
        </w:rPr>
        <w:t>E. 3</w:t>
      </w:r>
    </w:p>
    <w:p>
      <w:r>
        <w:t>Le recourant conteste par ailleurs les mesures prises par le Tribunal de protection s'agissant de la garde de la mineure et des relations personnelles.</w:t>
      </w:r>
    </w:p>
    <w:p>
      <w:r>
        <w:rPr>
          <w:b/>
        </w:rPr>
        <w:t>E. 3.1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w:t>
      </w:r>
    </w:p>
    <w:p>
      <w:r>
        <w:rPr>
          <w:b/>
        </w:rPr>
        <w:t>E. 3.1.2</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3.2.1 Les parties ont exercé une garde partagée sur leur fille à compter de leur séparation, intervenue en février 2020. Cette modalité de garde a pris fin en</w:t>
      </w:r>
    </w:p>
    <w:p>
      <w:r>
        <w:t>- 13/15 -</w:t>
      </w:r>
    </w:p>
    <w:p>
      <w:r>
        <w:t>C/27028/2014-CS février 2024, date à laquelle la mineure a refusé de partir en vacances en Grèce avec son père, qu'elle n'a revu, depuis lors, qu'à quelques reprises seulement. Les relations entre la mineure et son père sont par conséquent presque inexistantes depuis plus d'une année désormais. Si aucun fait grave n'est survenu entre le recourant et sa fille, cette dernière a décrit une forme de mal-être lorsqu'elle se trouvait chez lui, considérant qu'il n'était pas suffisamment à l'écoute de ses émotions et qu'il se montrait rigide et contrôlant. Le recourant a certes contesté le portrait dressé de lui par la mineure, considérant avoir toujours rempli son rôle de manière adéquate et que certains faits relatés par sa fille, notamment les vacances en Grèce, n'étaient pas conformes à la réalité. Il convient toutefois de ne pas perdre de vue le fait que la mineure est désormais une adolescente, dont les besoins et les attentes se sont modifiés et dont le mal-être peut avoir des causes multiples. Le contenu du recours atteste toutefois du fait que le recourant n'entend en aucune manière se remettre en cause et rejette sur B______ l'entière responsabilité de leurs difficultés de communication et de la rupture de ses relations avec sa fille, ce qui est sans doute excessif, B______ ne semblant notamment pas s'être opposée au fait que la mineure H______ entretienne des relations régulières avec le recourant. Ce dernier omet par ailleurs de tenir compte du fait que sa fille aura 15 ans au mois d'août 2025. Si elle ne saurait certes décider seule de l'organisation de sa prise en charge, il n'en demeure pas moins qu'il serait contreproductif de lui imposer un mode de garde et des relations personnelles auxquels elle serait fermement opposée. Ainsi, décider, conformément aux conclusions prises par le recourant, que le système de la garde alternée devra reprendre à compter de la prochaine rentrée des classes le 18 août 2025 et que d'ici là le droit de visite devra s'exercer à raison d'un week-end sur deux, d'un jour par semaine et de la moitié des vacances scolaires, n'apparaîtrait pas réaliste et ferait totalement fi des difficultés rencontrées par le recourant et la mineure ainsi que de la longue période d'interruption quasi-totale des relations personnelles entre eux. Or, il n'est pas possible de prédire à ce jour quel sera l'état des relations père-fille en août prochain, de sorte qu'il serait pour le moins prématuré de réinstaurer une garde alternée sans avoir pu s'assurer au préalable qu'elle correspondra à l'intérêt de la mineure. Il semble que des séances au sein de J______ aient pu avoir lieu en dépit du recours déposé et que le recourant et la mineure aient également entretenu quelques contacts en dehors de cette institution. Lesdits contacts sont certes encourageants. Ils ne sauraient toutefois suffire pour que le droit de visite souhaité par le recourant puisse être instauré. En l'état, il paraît nécessaire que les relations personnelles s'exercent un temps au travers de J______, qui devrait être en mesure d'aider le recourant et la mineure à renouer un dialogue apaisé et constructif, afin de leur permettre de repartir sur des bases saines. Une fois ce dialogue renoué, une</w:t>
      </w:r>
    </w:p>
    <w:p>
      <w:r>
        <w:t>- 14/15 -</w:t>
      </w:r>
    </w:p>
    <w:p>
      <w:r>
        <w:t>C/27028/2014-CS évolution vers un élargissement des relations personnelles, voire la reprise d'une garde alternée, pourra être envisagée. Une telle évolution ne saurait toutefois être décrétée de manière abstraite, contrairement à ce que souhaiterait le recourant. Au vu de ce qui précède, le recours, infondé, sera rejeté. 3.2.2 Pour le surplus, il ne sera donné aucune suite, faute d'intérêt, aux conclusions du recourant portant sur le constat que les relations personnelles avec sa fille avaient repris à l'initiative de celle-ci et sur le rappel à B______ de son accord à entreprendre un travail de coparentalité.</w:t>
      </w:r>
    </w:p>
    <w:p>
      <w:r>
        <w:rPr>
          <w:b/>
        </w:rPr>
        <w:t>E. 4</w:t>
      </w:r>
    </w:p>
    <w:p>
      <w:r>
        <w:t>La procédure de recours, qui concerne les relations personnelles entre le recourant et sa fille, n'est pas gratuite (art. 77 et 81 al. 1 a contrario LaCC; art. 67A et 67B RTFMC).</w:t>
      </w:r>
    </w:p>
    <w:p>
      <w:r>
        <w:t>L'émolument de décision sera arrêté à 400 fr., mis à la charge du recourant, qui succombe et compensé avec l'avance de frais versée, acquise à l'Etat de Genève.</w:t>
      </w:r>
    </w:p>
    <w:p>
      <w:r>
        <w:t>Vu la nature familiale du litige, il ne sera pas alloué de dépens (art. 107 al. 1 let. C CPC). * * * * *</w:t>
      </w:r>
    </w:p>
    <w:p>
      <w:r>
        <w:t>- 15/15 -</w:t>
      </w:r>
    </w:p>
    <w:p>
      <w:r>
        <w:t>C/27028/2014-CS PAR CES MOTIFS, La Chambre de surveillance : A la forme : Déclare recevable le recours formé par A______ contre l'ordonnance DTAE/8082/2024 du 16 septembre 2024, rendue par le Tribunal de protection de l'adulte et de l'enfant dans la cause C/27028/2014. Au fond : Le rejette. Déboute le recourant de toutes autres conclusions. Sur les frais : Arrête les frais judiciaires à 400 fr., les met à la charge de A______ et les compense avec l'avance versée, qui reste acquise à l'Etat de Genève. Dit qu'il n'y a pas lieu à l'allocation de dépens. Siégeant : Madame Jocelyne DEVILLE-CHAVANNE, présidente;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