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DAS/80/2020 vom 28. November 2019</w:t>
      </w:r>
    </w:p>
    <w:p>
      <w:r>
        <w:t>GE Cour de justice, 2019-11-28, FR</w:t>
      </w:r>
    </w:p>
    <w:p>
      <w:r>
        <w:rPr>
          <w:b/>
        </w:rPr>
        <w:t xml:space="preserve">Quelle: </w:t>
      </w:r>
      <w:r>
        <w:t>https://mcp.opencaselaw.ch/entscheid/ge_gerichte_DAS_80_2020</w:t>
      </w:r>
    </w:p>
    <w:p>
      <w:r>
        <w:t>FR: GE_GERICHTE DAS/80/2020 du 28 novembre 2019</w:t>
      </w:r>
    </w:p>
    <w:p>
      <w:r>
        <w:t>IT: GE_GERICHTE DAS/80/2020 del 28 novembre 2019</w:t>
      </w:r>
    </w:p>
    <w:p>
      <w:pPr>
        <w:pStyle w:val="Heading2"/>
      </w:pPr>
      <w:r>
        <w:t>Erwägungen</w:t>
      </w:r>
    </w:p>
    <w:p>
      <w:r>
        <w:rPr>
          <w:b/>
        </w:rPr>
        <w:t>E. 1</w:t>
      </w:r>
    </w:p>
    <w:p>
      <w:r>
        <w:t>Les décisions de l'autorité de protection sont susceptibles de recours auprès de la Chambre de surveillance de la Cour de justice dans un délai de trente jours (art. 450 al. 1, 450b al. 1 CC, 126 al. 1 LOJ).</w:t>
      </w:r>
    </w:p>
    <w:p>
      <w:r>
        <w:t>Déposé dans les forme et délai prévus par la loi, le recours est recevable.</w:t>
      </w:r>
    </w:p>
    <w:p>
      <w:r>
        <w:t>- 4/6 -</w:t>
      </w:r>
    </w:p>
    <w:p>
      <w:r>
        <w:t>C/21670/2015-CS</w:t>
      </w:r>
    </w:p>
    <w:p>
      <w:r>
        <w:t>La Chambre de surveillance revoit la cause en fait, en droit et en opportunité (art. 450a al. 1 CC) et n'est pas liée par les conclusions des parties (art. 446 al. 3 CC). Elle applique le droit d'office (art. 446 al. 4 CC).</w:t>
      </w:r>
    </w:p>
    <w:p>
      <w:r>
        <w:rPr>
          <w:b/>
        </w:rPr>
        <w:t>E. 2</w:t>
      </w:r>
    </w:p>
    <w:p>
      <w:r>
        <w:t>La recourante soutient tout d'abord que le Tribunal de protection a violé son droit d'être entendue en omettant de lui communiquer les prises de position du père de l'enfant et du curateur dont la relève avait été requise.</w:t>
      </w:r>
    </w:p>
    <w:p>
      <w:r>
        <w:rPr>
          <w:b/>
        </w:rPr>
        <w:t>E. 2.1</w:t>
      </w:r>
    </w:p>
    <w:p>
      <w:r>
        <w:t>Le droit d'être entendu est un droit à caractère formel dans lequel est contenu le droit inconditionnel à la réplique. Malgré son caractère formel, la garantie du droit d'être entendu n'est pas une fin en soi. Dans le procès civil, le droit d'être entendu vise à assurer qu'aucune partie ne soit affectée par une décision qui, en raison de la violation de son droit de participer à la procédure, a abouti à un résultat incorrect. La jurisprudence a renoncé à l'annulation de décisions, même sans guérison de la violation du droit d'être entendu, au motif que le renvoi représenterait une vaine formalité (cf. par ex. arrêt du Tribunal fédéral 4A_67/2011 consid. 2.1.2). Ces arrêts sont l'expression du principe général de la bonne foi (arrêts 4A_112/2018 consid. 3.2; 4A_453/2016 consid. 4.2.3).</w:t>
      </w:r>
    </w:p>
    <w:p>
      <w:r>
        <w:rPr>
          <w:b/>
        </w:rPr>
        <w:t>E. 2.2</w:t>
      </w:r>
    </w:p>
    <w:p>
      <w:r>
        <w:t>Dans le cas d'espèce, si certes il ne ressort pas du dossier que le Tribunal de protection aurait communiqué à la recourante les prises de position du curateur dont la relève avait été requise et du père de la mineure, force est d'admettre d'une part que celle-ci ne tire aucune conclusion, hormis sa volonté d'annulation de la décision, de ladite violation et d'autre part que cette violation a été parfaitement réparée devant une autorité de recours ayant plein pouvoir de cognition, de sorte que ce grief doit être rejeté.</w:t>
      </w:r>
    </w:p>
    <w:p>
      <w:r>
        <w:rPr>
          <w:b/>
        </w:rPr>
        <w:t>E. 3</w:t>
      </w:r>
    </w:p>
    <w:p>
      <w:r>
        <w:t>Pour le surplus, la recourante soutient que le Tribunal aurait violé l'art. 423 al. 1 CC en ne retenant pas les causes qui justifient selon elle la relève du curateur désigné à l'été 2019.</w:t>
      </w:r>
    </w:p>
    <w:p>
      <w:r>
        <w:rPr>
          <w:b/>
        </w:rPr>
        <w:t>E. 3.1</w:t>
      </w:r>
    </w:p>
    <w:p>
      <w:r>
        <w:t>Selon l'art. 423 al. 1 CC, l'autorité de protection libère le curateur de ses fonctions : 1) s'il n'est plus apte à remplir les tâches qui lui sont confiées; 2) s'il existe un autre juste motif de libération.</w:t>
      </w:r>
    </w:p>
    <w:p>
      <w:r>
        <w:t>Cette disposition fait pendant à la disposition de l'art. 400 al. 1 CC selon laquelle l'autorité de protection nomme curateur une personne physique qui possède les aptitudes et les connaissances nécessaires à l'accomplissement des tâches qui lui seront confiées, qui dispose du temps nécessaire et qui les exécute en personne. Pour que le curateur soit relevé pour de "justes motifs", il faut notamment une rupture du lien de confiance entre le mandataire et l'institution qui l'a mandaté par exemple. L'autorité de protection dispose d'un pouvoir d'appréciation étendu aussi bien lorsqu'elle examine l'aptitude du mandataire que lorsqu'elle le libère pour inaptitude ou sur la base d'un autre juste motif. Dans ces derniers cas également,</w:t>
      </w:r>
    </w:p>
    <w:p>
      <w:r>
        <w:t>- 5/6 -</w:t>
      </w:r>
    </w:p>
    <w:p>
      <w:r>
        <w:t>C/21670/2015-CS l'accent est mis sur les intérêts de la personne à protéger (ROSCH, in Commentaire du droit de la famille, Protection de l'adulte, 2012 ad art. 423 CC).</w:t>
      </w:r>
    </w:p>
    <w:p>
      <w:r>
        <w:t>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une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rPr>
          <w:b/>
        </w:rPr>
        <w:t>E. 3.2</w:t>
      </w:r>
    </w:p>
    <w:p>
      <w:r>
        <w:t>Dans le cas d'espèce, la futilité des motifs invoqués par la recourante par rapport aux critères posés par la loi et rappelés ci-dessus conduit la Chambre de surveillance à considérer que l'on se trouve dans un cas limite d'utilisation abusive des procédures. En cas de récidive, une amende pour téméraire plaideur pourra être prononcée.</w:t>
      </w:r>
    </w:p>
    <w:p>
      <w:r>
        <w:t>En effet, il ressort des faits retenus dans l'arrêt que les motifs à l'appui de la requête, considérés par euphémisme comme non décisifs par le Tribunal de protection, sont sans rapport avec des motifs qui justifieraient la relève d'un curateur au sens des principes précités.</w:t>
      </w:r>
    </w:p>
    <w:p>
      <w:r>
        <w:t>Pour le surplus, on ne voit pas en quoi les actes reprochés auraient pu porter un quelconque préjudice aux intérêts de l'enfant.</w:t>
      </w:r>
    </w:p>
    <w:p>
      <w:r>
        <w:t>Ces considérations suffisent au rejet du recours.</w:t>
      </w:r>
    </w:p>
    <w:p>
      <w:r>
        <w:rPr>
          <w:b/>
        </w:rPr>
        <w:t>E. 4</w:t>
      </w:r>
    </w:p>
    <w:p>
      <w:r>
        <w:t>Dans la mesure où elle succombe, la recourante supportera les frais de la procédure fixés à 800 fr. et partiellement compensés par l'avance de frais de 400 fr. versée. Elle sera condamnée au versement d'un montant de 400 fr. à l'Etat de Genève. * * * * *</w:t>
      </w:r>
    </w:p>
    <w:p>
      <w:r>
        <w:t>- 6/6 -</w:t>
      </w:r>
    </w:p>
    <w:p>
      <w:r>
        <w:t>C/21670/2015-CS PAR CES MOTIFS, La Chambre de surveillance : A la forme : Déclare recevable le recours déposé le 28 novembre 2019 par A______ contre l'ordonnance DTAE/6941/2019 rendue le 11 novembre 2019 par le Tribunal de protection de l'adulte et de l'enfant dans la cause C/21670/2015-8. Au fond : Le rejette et confirme l'ordonnance attaquée. Sur les frais : Met les frais de la procédure de recours, arrêtés à 800 fr., à la charge de A______. Les compense partiellement avec l'avance de frais de 400 fr. versée par elle qui reste acquise à l'Etat de Genève. La condamne en outre au paiement à l'Etat de Genève, soit pour lui les Services financiers du pouvoir judiciaire, de la somme de 400 fr.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