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DAS/7/2018 vom 30. Oktober 2017</w:t>
      </w:r>
    </w:p>
    <w:p>
      <w:r>
        <w:t>GE Cour de justice, 2017-10-30, FR</w:t>
      </w:r>
    </w:p>
    <w:p>
      <w:r>
        <w:rPr>
          <w:b/>
        </w:rPr>
        <w:t xml:space="preserve">Quelle: </w:t>
      </w:r>
      <w:r>
        <w:t>https://mcp.opencaselaw.ch/entscheid/ge_gerichte_DAS_7_2018</w:t>
      </w:r>
    </w:p>
    <w:p>
      <w:r>
        <w:t>FR: GE_GERICHTE DAS/7/2018 du 30 octobre 2017</w:t>
      </w:r>
    </w:p>
    <w:p>
      <w:r>
        <w:t>IT: GE_GERICHTE DAS/7/2018 del 30 ottobre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le cas d'espèce, le recours a été interjeté par une personne ayant qualité pour recourir, dans le délai utile de trente jours et suivant la forme prescrite; il est recevable (art. 450 al. 2 et 3 et 450b CC; art. 142 al. 3 CPC).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s'oppose à l'octroi de tout droit de visite en faveur de B______.</w:t>
      </w:r>
    </w:p>
    <w:p>
      <w:r>
        <w:t>- 8/12 -</w:t>
      </w:r>
    </w:p>
    <w:p>
      <w:r>
        <w:t>C/23993/2016-CS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w:t>
      </w:r>
    </w:p>
    <w:p>
      <w:r>
        <w:t>- 9/12 -</w:t>
      </w:r>
    </w:p>
    <w:p>
      <w:r>
        <w:t>C/23993/2016-CS en cas de troubles psychiques du titulaire du droit de garde (MEIER/STETTLER, Droit de la filiation, 3ème éd., p. 24). Le juge dispose d'un large pouvoir d'appréciation dans la fixation du droit de visite (ATF 122 III 404 consid. 3d = JdT 1998 I 46). 2.1.3 L'autorité de protection de l'adulte prend, d'office ou à la demande d'une personne partie à la procédure, toutes les mesures provisionnelles nécessaires pendant la durée de la procédure (art. 445 al. 1 CC, par renvoi de l'art. 314 al. 1 CC).</w:t>
      </w:r>
    </w:p>
    <w:p>
      <w:r>
        <w:rPr>
          <w:b/>
        </w:rPr>
        <w:t>E. 2.2</w:t>
      </w:r>
    </w:p>
    <w:p>
      <w:r>
        <w:t>En l'espèce, il ressort certes de la procédure que la recourante et B______ n'ont jamais entretenu une relation stable et qu'ils n'avaient pas formé le projet d'avoir un enfant. Il est également établi que tout les oppose, leur âge, leur formation, leur mode de vie et sans doute leur vision de l'éducation. Il n'en demeure pas moins qu'en dépit de leurs différences, la recourante et B______ sont les parents de la mineure E______. En tant que père, B______ a par conséquent et en principe le droit d'entretenir des relations personnelles avec sa fille, dont les modalités doivent être appropriées aux circonstances. Le droit de visite ne peut être restreint, voire supprimé, qu'aux conditions restrictives de l'art. 274 al. 2 CC. La recourante a certes allégué que B______, compte tenu de son état de santé, de son mode de vie et de ses fréquentations n'était pas en mesure de prendre soin d'une enfant en bas âge. Elle a également déclaré craindre sa violence et avoir été harcelée par lui, voire supposer qu'il puisse enlever la mineure. Force est toutefois de constater qu'aucun élément concret ne vient étayer les affirmations de la recourante sur ces différents points. Il n'est en effet nullement établi que B______ aurait fait preuve de violence à l'encontre de la recourante et encore moins de l'enfant, qu'il n'a, au final, vue qu'à quelques reprises et toujours en présence non seulement de la recourante, mais également d'une tierce personne. Les parties ont certes entretenu des relations très conflictuelles et n'ont actuellement plus aucun contact. B______ s'est montré insistant en vue d'obtenir l'acte de naissance de l'enfant, alors que ce document ne lui était pas nécessaire. Il ne s'est peut-être pas impliqué comme la recourante l'aurait souhaité au moment de l'annonce de la grossesse et s'est sans doute montré maladroit au moment de ses rencontres avec l'enfant. Les récits desdites rencontres ne permettent toutefois pas de retenir qu'il pourrait faire du mal à sa fille et aucune menace d'enlèvement n'a jamais été proférée, à tout le moins à teneur du dossier. L'attitude de la recourante est par ailleurs contradictoire puisque, d'une part, elle reproche à B______ son manque d'implication et le fait qu'il ne s'est prétendument jamais soucié de sa fille et, d'autre part, elle lui dénie le droit d'entretenir avec elle des relations suivies, alors qu'il a manifesté le souhait et l'intention de s'impliquer dans la vie de son enfant.</w:t>
      </w:r>
    </w:p>
    <w:p>
      <w:r>
        <w:t>- 10/12 -</w:t>
      </w:r>
    </w:p>
    <w:p>
      <w:r>
        <w:t>C/23993/2016-CS Au vu de ce qui précède et contrairement à ce que soutient la recourante, rien ne permet de supprimer totalement le droit aux relations personnelles entre B______ et sa fille. Reste à déterminer si les modalités fixées par le Tribunal de protection sont adéquates; tel est bien le cas. Le Tribunal de protection a en effet tenu compte du fait que l'enfant E______ est encore en bas âge, qu'elle ne connaît pour ainsi dire pas son père qu'elle n'a pas revu depuis plus d'une année, que les relations entre les parents sont très conflictuelles et que la mère a exprimé des craintes qu'il est nécessaire d'apaiser. La fixation d'un droit de visite dans un Point rencontre apparaît dès lors parfaitement conforme à la situation, puisque des intervenants seront présents pour aider le père et l'enfant à faire connaissance et pourront évaluer l'adéquation du père et les réactions de la mineure. Un droit de visite en milieu protégé est également de nature à rassurer la mère en relation avec les différentes craintes qu'elle a exprimées. En ce qui concerne la fréquence des visites, la Chambre de surveillance considère que dans un premier temps elles pourront être organisées à raison d'une heure chaque quinze jours, compte tenu du fait que l'enfant n'a plus revu son père depuis plus d'une année et qu'il importe de lui permettre de nouer des liens en douceur, sans trop perturber son rythme de vie. Le chiffre 1 du dispositif de l'ordonnance attaquée sera modifié en conséquence. Les autres mesures prononcées paraissent adéquates compte tenu de la situation et de l'absence totale de communication entre les parties; elles seront confirmées.</w:t>
      </w:r>
    </w:p>
    <w:p>
      <w:r>
        <w:rPr>
          <w:b/>
        </w:rPr>
        <w:t>E. 3</w:t>
      </w:r>
    </w:p>
    <w:p>
      <w:r>
        <w:t>La procédure, qui porte sur la question des relations personnelles, n'est pas gratuite (art. 19 LaCC; art. 54 et 67B du Règlement fixant le tarif des frais en matière civile). Les frais judiciaires seront fixés à 400 fr. et seront mis à la charge des deux parties à raison de la moitié chacune, aucune n'ayant obtenu entièrement gain de cause. Les frais ainsi fixés seront compensés avec l'avance de frais versée par la recourante, qui reste acquise à l'Etat de Genève (art. 111 al. 1 CPC). B______ sera en conséquence condamné à verser à la recourante la somme de 200 fr. à titre de remboursement de l'avance de frais.</w:t>
      </w:r>
    </w:p>
    <w:p>
      <w:r>
        <w:t>Compte tenu de la nature du litige, chaque partie supportera ses propres dépens (art. 107 al. 1 let. c CPC).</w:t>
      </w:r>
    </w:p>
    <w:p>
      <w:r>
        <w:t>* * * * *</w:t>
      </w:r>
    </w:p>
    <w:p>
      <w:r>
        <w:t>- 11/12 -</w:t>
      </w:r>
    </w:p>
    <w:p>
      <w:r>
        <w:t>C/23993/2016-CS PAR CES MOTIFS, La Chambre de surveillance : A la forme : Déclare recevable le recours formé le 30 octobre 2017 par A______ contre l'ordonnance DTAE/4815/2017 rendue le 30 mai 2017 par le Tribunal de protection de l'adulte et de l'enfant dans la cause C/23993/2016. Au fond : Annule le chiffre 1 du dispositif de cette ordonnance et cela fait, statuant à nouveau sur ce point : Réserve à B______ un droit de visite sur sa fille E________, née le ______ 2016, à raison d'une heure chaque quinze jours au sein d'un Point rencontre, avec temps de battement. Confirme pour le surplus l'ordonnance attaquée. Sur les frais : Arrête les frais judiciaires à 400 fr. et les compense avec l'avance de frais versée par A______, laquelle reste acquise à l'Etat. Met les frais judiciaires à la charge de A______ et de B______, à concurrence de la moitié chacun. Condamne en conséquence B______ à verser à A______ la somme de 200 fr. à titre de remboursement de l'avance de frais. Dit qu'il n'est pas alloué de dépens. Siégeant : Monsieur Cédric-Laurent MICHEL, président; Mesdames Paola CAMPOMAGNANI et Jocelyne DEVILLE-CHAVANNE, juges; Madame Jessica QUINODOZ, greffière.</w:t>
      </w:r>
    </w:p>
    <w:p>
      <w:r>
        <w:t>- 12/12 -</w:t>
      </w:r>
    </w:p>
    <w:p>
      <w:r>
        <w:t>C/23993/2016-CS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