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DAS/79/2022 vom 19. November 2021</w:t>
      </w:r>
    </w:p>
    <w:p>
      <w:r>
        <w:t>GE Cour de justice, 2021-11-19, FR</w:t>
      </w:r>
    </w:p>
    <w:p>
      <w:r>
        <w:rPr>
          <w:b/>
        </w:rPr>
        <w:t xml:space="preserve">Quelle: </w:t>
      </w:r>
      <w:r>
        <w:t>https://mcp.opencaselaw.ch/entscheid/ge_gerichte_DAS_79_2022</w:t>
      </w:r>
    </w:p>
    <w:p>
      <w:r>
        <w:t>FR: GE_GERICHTE DAS/79/2022 du 19 novembre 2021</w:t>
      </w:r>
    </w:p>
    <w:p>
      <w:r>
        <w:t>IT: GE_GERICHTE DAS/79/2022 del 19 novembre 2021</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- 8/11 -</w:t>
      </w:r>
    </w:p>
    <w:p>
      <w:r>
        <w:t>C/17940/2017-CS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w:t>
      </w:r>
    </w:p>
    <w:p>
      <w:r>
        <w:t>- 9/11 -</w:t>
      </w:r>
    </w:p>
    <w:p>
      <w:r>
        <w:t>C/17940/2017-CS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2.2 En l'espèce, le droit de visite dont bénéficie B______ s'exerce au sein du Point rencontre, avec la présence constante d'un éducateur, depuis à tout le moins le début du mois de septembre 2019, avec une interruption de quelques mois due à la pandémie du Covid 19. Contrairement à ce que la recourante a allégué, B______ s'est montré régulier dans l'exercice de son droit de visite, seules quelques rencontres ayant été annulées, pour des raisons motivées selon les rapports du Point rencontre et du Service de protection des mineurs. Il ne saurait par conséquent lui être reproché de se désintéresser de son fils, quand bien même les relations personnelles s'exercent dans un cadre très restreint, ce qui pourrait décourager certains pères moins motivés. Il résulte par ailleurs des rapports du Point rencontre que le droit de visite s'est toujours bien déroulé, sous réserve de quelques difficultés rencontrées les premières fois au moment du passage de l'enfant. Celui-ci, au fil du temps, s'est montré de plus en plus à l'aise et la relation s'est consolidée. Depuis de nombreux mois, le Point rencontre considère que la modalité "1 pour 1" n'est plus nécessaire et qu'il serait dans l'intérêt du mineur que les visites puissent s'exercer hors la présence constante d'un éducateur, opinion partagée par le Service de protection des mineurs. La recourante a, depuis que le père a demandé à pouvoir exercer un droit de visite, toujours manifesté une forte opposition, motivée par la crainte qu'il puisse, dans un accès de colère, faire du mal à l'enfant. Or, rien dans le dossier ne permet de retenir que B______ s'en serait pris physiquement à son fils par le passé. Il n'est certes pas exclu qu'il ait pu se montrer agressif et menaçant à l'égard de la recourante, voire de ses autres enfants. Toutefois, aucun certificat médical ne vient étayer les allégations de violence physique. Par ailleurs, l'attitude de B______ en présence de son fils a été surveillée pendant plus de quarante visites par un éducateur, ce qui, contrairement à ce qu'a soutenu la recourante, constitue</w:t>
      </w:r>
    </w:p>
    <w:p>
      <w:r>
        <w:t>- 10/11 -</w:t>
      </w:r>
    </w:p>
    <w:p>
      <w:r>
        <w:t>C/17940/2017-CS manifestement un nombre d'observations suffisant pour se forger une opinion. Or, B______ a été décrit comme étant attentif aux besoins de son fils, avec une bonne interaction et en mesure d'anticiper le moment difficile de la transition d'un parent à l'autre. B______ se savait certes observé; il est toutefois douteux qu'il soit parvenu, pendant plus de quarante visites, à dissimuler d'éventuels accès de colère ou des réactions agressives. Il ressort pour le surplus du dossier que s'il a souffert d'un épisode dépressif par le passé, il s'en est remis, a pu reprendre une activité lucrative régulière et ne nécessite plus la prise d'un traitement médicamenteux. Il bénéficie par ailleurs d'un suivi psychiatrique relativement régulier et rien ne permet de retenir qu'il consommerait de l'alcool en excès ou des stupéfiants. Aucun élément objectif ne permet par conséquent de retenir que B______ ne se montrerait pas adéquat s'il devait se retrouver seul avec son enfant. Par ailleurs, le droit de visite qui lui a été accordé dans l'ordonnance litigieuse continuera en l'état à s'exercer au sein du Point rencontre, dans lequel des éducateurs sont présents. Ceux-ci pourront par conséquent prendre les dispositions nécessaires si l'état de B______ le rendait inapte à exercer son droit de visite (ce qui n'est jamais arrivé en plus de quarante visites); ils pourront également intervenir en cas de besoin durant le temps de visite. Les craintes exprimées par la recourante paraissent dès lors excessives. Celle-ci ne saurait, au fil des années et en dépit de l'attitude adéquate adoptée par B______, considérer que le droit de visite devrait continuer à s'exercer avec la présence constante d'un éducateur et ce sans aucune limite dans le temps. Une telle attitude est déraisonnable. Infondé, le recours sera rejeté.</w:t>
      </w:r>
    </w:p>
    <w:p>
      <w:r>
        <w:rPr>
          <w:b/>
        </w:rPr>
        <w:t>E. 3</w:t>
      </w:r>
    </w:p>
    <w:p>
      <w:r>
        <w:t>Les frais judiciaires de la procédure seront arrêtés à 800 fr. (art. 67 A et B RTFMC), partiellement compensés avec l'avance de frais versée (art. 111 al. 1 CPC) et mis à la charge de la recourante, qui succombe (art. 106 al. 1 CPC). La recourante sera dès lors condamnée à verser 400 fr. à l'Etat de Genève, soit pour lui les Services financiers du Pouvoir judiciaire, à titre de solde de frais judiciaires. Compte tenu de la nature familiale du litige, il ne sera pas accordé de dépens (art. 107 al. 1 let. c CPC). * * * * *</w:t>
      </w:r>
    </w:p>
    <w:p>
      <w:r>
        <w:t>- 11/11 -</w:t>
      </w:r>
    </w:p>
    <w:p>
      <w:r>
        <w:t>C/17940/2017-CS PAR CES MOTIFS, La Chambre de surveillance : A la forme : Déclare recevable le recours formé par A______ contre l'ordonnance DTAE/6101/2021 du 21 octobre 2021 rendue par le Tribunal de protection de l'adulte et de l'enfant dans la cause C/17940/2017. Au fond : Le rejette. Sur les frais : Arrête les frais judiciaires à 800 fr., les compense partiellement avec l'avance de frais versée par A______, qui reste acquise à l'Etat de Genève et les met à la charge de cette dernière. Condamne A______ à verser à l'Etat de Genève, soit pour lui les Services financiers du Pouvoir judiciaire, la somme de 400 fr. à titre de solde de frais judiciaires. Dit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