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DAS/78/2022 vom 28. Dezember 2021</w:t>
      </w:r>
    </w:p>
    <w:p>
      <w:r>
        <w:t>GE Cour de justice, 2021-12-28, FR</w:t>
      </w:r>
    </w:p>
    <w:p>
      <w:r>
        <w:rPr>
          <w:b/>
        </w:rPr>
        <w:t xml:space="preserve">Quelle: </w:t>
      </w:r>
      <w:r>
        <w:t>https://mcp.opencaselaw.ch/entscheid/ge_gerichte_DAS_78_2022</w:t>
      </w:r>
    </w:p>
    <w:p>
      <w:r>
        <w:t>FR: GE_GERICHTE DAS/78/2022 du 28 décembre 2021</w:t>
      </w:r>
    </w:p>
    <w:p>
      <w:r>
        <w:t>IT: GE_GERICHTE DAS/78/2022 del 28 dicembre 2021</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(53 al. 1 LaCC). Interjetés en temps utile et selon la forme prescrite par la personne concernée par la mesure, les recours formés, respectivement, le 30 juin 2021 contre l'ordonnance DTAE/2712/2021 du 26 avril 2021, et le 28 décembre 2021 contre l'ordonnance DTAE/6884/2021 du 28 juin 2021, sont recevables. Ces deux recours seront traités dans la même décision, après que l'instruction du premier recours soit reprise.</w:t>
      </w:r>
    </w:p>
    <w:p>
      <w:r>
        <w:t>- 11/18 -</w:t>
      </w:r>
    </w:p>
    <w:p>
      <w:r>
        <w:t>C/19429/2020-CS</w:t>
      </w:r>
    </w:p>
    <w:p>
      <w:r>
        <w:rPr>
          <w:b/>
        </w:rPr>
        <w:t>E. 1.2</w:t>
      </w:r>
    </w:p>
    <w:p>
      <w:r>
        <w:t>Le recours peut être formé pour violation du droit, constatation fausse ou incomplète des faits pertinents et inopportunité de la décision (art. 450a al. 1 CC).</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1.4</w:t>
      </w:r>
    </w:p>
    <w:p>
      <w:r>
        <w:t>Les pièces nouvelles produites sont recevables, l'art. 53 LaCC ne prévoyant aucune limitation au dépôt en procédure de recours de pièces nouvelles.</w:t>
      </w:r>
    </w:p>
    <w:p>
      <w:r>
        <w:rPr>
          <w:b/>
        </w:rPr>
        <w:t>E. 2.1</w:t>
      </w:r>
    </w:p>
    <w:p>
      <w:r>
        <w:t>En cas de reconsidération de la décision attaquée par l’autorité de première instance, le recours devient sans objet.</w:t>
      </w:r>
    </w:p>
    <w:p>
      <w:r>
        <w:rPr>
          <w:b/>
        </w:rPr>
        <w:t>E. 2.2</w:t>
      </w:r>
    </w:p>
    <w:p>
      <w:r>
        <w:t>En l’espèce, le recours formé le 30 juin 2021 contre l'ordonnance DTAE/2712/2021 du 26 avril 2021 instaurant une curatelle de représentation et de gestion en matière administrative et financière, de même que concernant le bien- être et la santé de la recourante, et nommant deux intervenants en protection de l’adulte, est ainsi devenu sans objet, ce que la Chambre de surveillance constatera, le Tribunal de protection ayant reconsidéré sa décision et rendu la décision DTAE/6884/2021, qui remplace la précédente. Compte tenu de l’issue de ce recours, il ne sera pas perçu de frais judiciaires, de sorte que l'avance de frais de 400 fr. versée par la recourante lui sera restituée. Il ne sera également pas alloué de dépens. S'agissant de ce dernier point, la recourante a développé des arguments à l'appui desquels elle soutient que les deux notes d'honoraires de son conseil, relatives à chacun des deux recours qu'elle a formés, doivent être mises à la charge de l'Etat de Genève, arguments qui seront examinés infra sous 5 et 6.</w:t>
      </w:r>
    </w:p>
    <w:p>
      <w:r>
        <w:rPr>
          <w:b/>
        </w:rPr>
        <w:t>E. 3</w:t>
      </w:r>
    </w:p>
    <w:p>
      <w:r>
        <w:t>La recourante conteste avoir besoin d’une curatelle de représentation en matière médicale et indique que sa fille, respectivement son fils, prennent suffisamment soin d’elle. 3.1.1 Selon l'art. 390 al. 1 ch.1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loi prévoit ainsi trois causes alternatives. L’autorité de protection de l’adulte prend alors les mesures appropriées pour garantir l’assistance et la protection de la personne qui a besoin d’aide (art. 388 al. 1 CC), dans le respect des principes de subsidiarité et de proportionnalité (art. 389 al. 2 CC). Par troubles psychiques, on entend toutes les pathologies mentales reconnues en psychiatrie, soit les psychoses et les psychopathies ayant des causes physiques ou</w:t>
      </w:r>
    </w:p>
    <w:p>
      <w:r>
        <w:t>- 12/18 -</w:t>
      </w:r>
    </w:p>
    <w:p>
      <w:r>
        <w:t>C/19429/2020-CS non, ainsi que les démences (MEIER, Droit de la protection de l'adulte, art. 360-456 CC, 2016, n. 722, p. 367; Guide pratique COPMA, 2012, n. 5.9, p. 137).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Message du Conseil fédéral du 28 juin 2006, FF 2006 6676; ATF 140 III 49 consid. 4.3.1).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ATF 140 III 49 consid. 4.3.1). Cette mesure doit se trouver en adéquation avec le but fixé, représenter l'atteinte la plus faible possible pour être compatible avec celui-ci et rester dans un rapport raisonnable entre lui et l'atteinte engendrée (arrêts 5A_844/2017 du 15 mai 2018 consid. 3.1; 5A_1034/2015 du 2 février 2016 consid. 3.1 et la jurisprudence citée; 5A_356/2015 du 26 juin 2015 consid. 3.1; 5A_318/2013 du 12 juin 2013 consid. 2.4 et la doctrine citée).</w:t>
      </w:r>
    </w:p>
    <w:p>
      <w:r>
        <w:rPr>
          <w:b/>
        </w:rPr>
        <w:t>E. 3.2</w:t>
      </w:r>
    </w:p>
    <w:p>
      <w:r>
        <w:t>En l'espèce, la recourante, âgée de 89 ans, présente des troubles cognitifs, lesquels ne lui permettent pas d'assurer elle-même la sauvegarde de ses intérêts dans les domaines financiers et administratifs. Considérant qu'elle bénéficiait d'une aide suffisante de la part de sa fille, et en l'absence d'indices de mauvaise gestion, le Tribunal de protection a renoncé à instaurer une curatelle de gestion en faveur de la recourante dans ces domaines. Ce, à raison, puisque la recourante ne fait l'objet d'aucune poursuite, ni d'aucun acte de défaut de biens, et que toutes les factures la concernant sont réglées. Le Tribunal de protection a cependant considéré que la fille de la recourante apportait à cette dernière un soutien limité et fluctuant en fonction de son propre état de santé et n'était donc pas en mesure de compenser, à elle seule, le besoin de protection de sa mère dans les domaines du bien-être et de la santé, de sorte qu'il convenait d'instaurer une curatelle dans ces deux domaines et de nommer un curateur privé, seule solution exempte de conflit d'intérêts et permettant d'assurer la présence d'une personne qui saurait gagner la confiance de l'intéressée et intervenir dans une relation mère-fille complexe. Le Tribunal de protection a justifié sa décision par le fait que le suivi de la recourante était discontinu, malgré la présence de troubles cognitifs et de problèmes somatiques. Elle ne bénéficiait pas de soins à domicile (aide-infirmière, physiothérapeute, appareillage pour l'apnée du sommeil) et son diabète était déséquilibré. Il relevait un manque d'assiduité dans les prescriptions médicales, la survenance de problèmes de mobilité et observait une posture oppositionnelle de la fille de la recourante face à l'intervention de tiers professionnels. La recourante soutient, quant à elle, que sa</w:t>
      </w:r>
    </w:p>
    <w:p>
      <w:r>
        <w:t>- 13/18 -</w:t>
      </w:r>
    </w:p>
    <w:p>
      <w:r>
        <w:t>C/19429/2020-CS fille, avec laquelle elle vit, est parfaitement en mesure de s'occuper de son bien- être et de sa santé, ce qu'elle a toujours fait. S'il est exact que la situation de la recourante a pu être, à un certain moment, préoccupante en raison des problèmes de santé de sa fille, qui ont inévitablement eu des répercussions sur la prise en charge de sa mère, il ressort de la procédure que la situation s'est depuis lors normalisée. Le Dr N______ indiquait en mai 2021 que les problèmes de santé de la fille de la recourante avaient fortement diminué, dès lors qu'ils étaient liés au contexte de vie de l'intéressée, lequel s'était modifié, puis en décembre 2021, qu'elle était parfaitement capable de s'occuper de sa mère sur tous les plans et prenait des décisions adaptées à la situation et à l'état de santé de cette dernière. Il ressort effectivement des pièces versées à la procédure que la recourante bénéficie actuellement d'une aide adéquate de la part de sa fille. Cette dernière s'est montrée capable d'effectuer les démarches nécessaires pour trouver un nouveau logement parfaitement adapté aux problèmes de mobilité de sa mère (appartement spacieux, chambre et salle de bains avec douche individuelle pour sa mère, terrasse) et pour négocier la réalisation et le financement de travaux afin de faciliter les soins et les déplacements de la recourante dans le nouveau logement (seuils des portes rabaissés, rampe d'accès pour fauteuil roulant permettant d'accéder à la terrasse, transformation de la douche en salle de douche avec siphon de sol, pose de barres d'appui et siège rabattable de douche). Elle a, par ailleurs, veillé à ce que sa mère reprenne un suivi médical plus régulier, en l'accompagnant plus souvent chez son médecin traitant, lequel a mis en place une physiothérapie à domicile et un passage de l'IMAD une fois par semaine en faveur de la concernée, ainsi que des séances de pédicure, en raison de son diabète, mesures à domicile parfaitement acceptées par la fille de la recourante. Cette dernière a, de surcroît, fait prescrire un fauteuil roulant à sa mère, devenu nécessaire en raison de la mobilité dorénavant réduite de la recourante, due à son âge avancé et son surpoids. L'appareillage pour l'apnée n'a finalement pas été préconisé par le médecin traitant de la recourante. La fille de la recourante a pris, par ailleurs, conscience que, même si sa mère ne mangeait pas beaucoup à certains repas, elle devait veiller à ce qu'elle prenne à chaque fois son traitement pour stabiliser son diabète. Il apparaît ainsi que toutes les mesures qui pouvaient être mises en place pour améliorer les conditions de vie de la recourante et sa prise en charge médicale ont été prises par sa fille. Ainsi, au vu de l'évolution favorable de la situation, qui a été exposée au Tribunal de protection sur reconsidération, et qui s'est depuis lors encore améliorée, il ne paraît pas, en l'état, nécessaire d'instaurer une mesure de curatelle en matière de soins et au niveau médical en faveur de la recourante, puisque sa fille veille à son bien-être social et médical et prend toutes décisions utiles en ces domaines. L'on ne discerne, en effet, pas ce qu'un curateur privé pourrait apporter de plus à la situation dorénavant stabilisée de la recourante. Il serait, au surplus, pour le moins disproportionné d'instaurer une telle mesure, dans la seule éventualité où la fille</w:t>
      </w:r>
    </w:p>
    <w:p>
      <w:r>
        <w:t>- 14/18 -</w:t>
      </w:r>
    </w:p>
    <w:p>
      <w:r>
        <w:t>C/19429/2020-CS de la recourante connaîtrait de nouveaux problèmes de santé. Dans ce cas, il apparaît que le fils de la recourante serait parfaitement à même de prendre toute décision nécessaire concernant le bien-être et la prise en charge médicale de sa mère, ainsi que pour s'occuper, cas échéant de ses affaires administratives et financières, en lieu et place de sa sœur. Aucun élément du dossier ne permet, au surplus, de retenir qu'il existerait un conflit d'intérêts entre les deux enfants de la recourante, empêchant telle prise en charge, cas échéant. La solution retenue conduit à l'annulation de l'ordonnance DTAE/6884/2021 rendue le 28 juin 2021 par le Tribunal de protection.</w:t>
      </w:r>
    </w:p>
    <w:p>
      <w:r>
        <w:rPr>
          <w:b/>
        </w:rPr>
        <w:t>E. 4</w:t>
      </w:r>
    </w:p>
    <w:p>
      <w:r>
        <w:t>Compte tenu du résultat de la procédure, les frais de ce second recours seront également laissés à la charge de l'Etat de Genève, aucune avance de frais supplémentaire n'ayant été requise de la recourante à son appui.</w:t>
      </w:r>
    </w:p>
    <w:p>
      <w:r>
        <w:rPr>
          <w:b/>
        </w:rPr>
        <w:t>E. 5</w:t>
      </w:r>
    </w:p>
    <w:p>
      <w:r>
        <w:t>La recourante sollicite que l'Etat de Genève soit condamné à lui verser la somme de 5'045 fr. correspondant à la note d'honoraires de son conseil, relative au recours formé contre l'ordonnance du 26 avril 2021. Elle reproche au Tribunal de protection de n'avoir fixé une audience que le 28 juin 2021 suite à la demande de reconsidération qu'elle avait formée, soit seulement deux jours avant l'échéance du délai de recours contre l'ordonnance du 26 avril 2021, ce qui l'avait contrainte à déposer un recours contre cette dernière. Elle considère que le Tribunal de protection aurait à tout le moins pu annuler le caractère immédiatement exécutoire de sa décision, compte tenu de la preuve qu'elle avait apportée par pièces concernant le déménagement intervenu. La recourante estime que la responsabilité de l'Etat de Genève est engagée, le dommage en résultant consistant en des honoraires pour une procédure de recours qui n'aurait jamais dû avoir lieu.</w:t>
      </w:r>
    </w:p>
    <w:p>
      <w:r>
        <w:rPr>
          <w:b/>
        </w:rPr>
        <w:t>E. 5.1</w:t>
      </w:r>
    </w:p>
    <w:p>
      <w:r>
        <w:t>Le Tribunal de première instance est compétent pour statuer sur les demandes fondées sur la loi sur la responsabilité de l'Etat et des communes (art. 7 al. 1 LREC; A 2.40). Selon l'art. 454 al. 1 CC,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Le Tribunal fédéral a confirmé que les conclusions en allocation d'une indemnité d'une partie pour les préjudices qu'elle prétend avoir subis dans le cadre d'une procédure devant le Tribunal de protection ne peuvent être formulées devant ce tribunal mais doivent l'être par le biais d'une procédure fondée sur l'art. 454 CC (arrêt du Tribunal fédéral 5A_814/2015 du 15 octobre 2015 consid. 2).</w:t>
      </w:r>
    </w:p>
    <w:p>
      <w:r>
        <w:t>- 15/18 -</w:t>
      </w:r>
    </w:p>
    <w:p>
      <w:r>
        <w:t>C/19429/2020-CS</w:t>
      </w:r>
    </w:p>
    <w:p>
      <w:r>
        <w:rPr>
          <w:b/>
        </w:rPr>
        <w:t>E. 5.2</w:t>
      </w:r>
    </w:p>
    <w:p>
      <w:r>
        <w:t>En l'espèce, en tant que la recourante fonde expressément sa requête sur la responsabilité de l'Etat, qu'elle estime engagée, et chiffre son dommage au montant de sa note d'honoraires relative au premier recours de 5'045 fr., force est de constater que la Chambre de surveillance n'est pas compétente pour connaître de la prétention invoquée, de sorte que cette conclusion est irrecevable.</w:t>
      </w:r>
    </w:p>
    <w:p>
      <w:r>
        <w:rPr>
          <w:b/>
        </w:rPr>
        <w:t>E. 6</w:t>
      </w:r>
    </w:p>
    <w:p>
      <w:r>
        <w:t>La recourante soutient encore que la nouvelle ordonnance rendue par le Tribunal de protection le 28 juin 2021 démontre que la première ordonnance du 26 avril 2021 n'était pas fondée, en tous les cas en partie, et nécessitait par conséquent le dépôt d'un recours. Ce second grief, dont elle a mêlé la motivation à celle examinée supra sous chiffre 5, doit être examiné séparément car son fondement est différent. Elle sollicite, sur cette base, que des dépens de 5'045 fr. et de 4'321 fr., respectivement en lien avec le premier et le second recours, soient mis à la charge de l'Etat de Genève.</w:t>
      </w:r>
    </w:p>
    <w:p>
      <w:r>
        <w:rPr>
          <w:b/>
        </w:rPr>
        <w:t>E. 6.1</w:t>
      </w:r>
    </w:p>
    <w:p>
      <w:r>
        <w:t>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Les dépens sont une indemnité de procédure mise à la charge d'un plaideur en faveur de l'autre pour le dédommager des dépenses ou du manque à gagner que lui a occasionné le procès (TAPPY, in BOHNET/HALDY/JEANDIN/SCHWEIZER/TAPPY, Code de procédure civile commenté, n° 21 ad art. 95). Les autorités et les tribunaux n'interviennent en général pas en tant que parties. Le fait que "les frais sont mis à la charge de la partie succombante" (art. 106 al. 1 CPC), ne fournit a priori aucune prise pour mettre les dépens à la charge de l'Etat. (…). Il en va autrement dans les procédures à une seule partie, et lorsque seule une partie est impliquée dans une procédure de recours, ou lorsque la partie adverse renonce à y déposer des conclusions. (…). Dans une procédure de recours du droit de la protection de l'enfant et de l'adulte, la question de savoir si des dépens doivent être mis à charge d'une autorité doit notamment être résolue selon que l'autorité a matériellement ou non position de partie. Le Tribunal fédéral l'admet dans le cas du recours pour retard injustifié à statuer (ATF 139 III 471). Plusieurs décisions peuvent cependant être rendues par diverses instances, sans que l'opinion de l'autorité de première instance, infirmée par l'autorité supérieure, doivent être qualifiée d'inexacte. Ainsi le seul fait que la décision est annulée ou modifiée sur recours ne fait pas naître d'obligation d'indemnisation, même s'il n'y a pas de personne privée tenue aux frais (Commentaire ZPO/CPC Online ad art. 106 CPC -notion de partie au procès- position de l'Etat en tant que partie à la procédure de recours-mise des frais à la charge de l'Etat).</w:t>
      </w:r>
    </w:p>
    <w:p>
      <w:r>
        <w:t>- 16/18 -</w:t>
      </w:r>
    </w:p>
    <w:p>
      <w:r>
        <w:t>C/19429/2020-CS Certains tribunaux cantonaux ont considéré que des dépens pouvaient être mis à charge de l'autorité, lorsque l'autorité pouvait revêtir la qualité de partie, mais uniquement lorsque la décision contestée rendue s'avérait erronée de manière qualifiée (cf. OGer/ZH du 28 juillet 2014 consid. 3.1, Commentaire ZPO/CPC Online ad art. 106 CPC op.cit.).</w:t>
      </w:r>
    </w:p>
    <w:p>
      <w:r>
        <w:rPr>
          <w:b/>
        </w:rPr>
        <w:t>E. 6.2</w:t>
      </w:r>
    </w:p>
    <w:p>
      <w:r>
        <w:t>En l'espèce, la question de la qualité de partie au procès de l'autorité lorsqu'aucune partie adverse privée n'existe, comme en l'état, peut demeurer indécise, dès lors qu'il ne peut en tout état être retenu que la première décision rendue par le Tribunal de protection s'avérait erronée de manière qualifiée. En effet, la recourante a fondé sa demande de reconsidération du 4 juin 2021 sur des faits nouveaux, de sorte qu'elle a soumis aux premiers juges une situation de fait différente de celle qu'ils avaient eu à connaître lors de la première décision rendue, ce qui empêche toute comparaison entre les deux décisions et ne permet en aucun cas de considérer que la première décision s'avérait erronée de manière qualifiée. La recourante ne peut ainsi prétendre que des dépens soient mis à la charge de l'Etat de Genève concernant le recours formé contre l'ordonnance du 26 avril 2021. La recourante ne peut également prétendre à aucun dépens mis à la charge de l'Etat de Genève dans le cadre du recours contre l'ordonnance du 28 juin 2021, dès lors que le simple fait que la décision soit annulée sur recours ne fait pas naître d'obligation d'indemnisation, même s'il n'y a pas de personne privée tenue aux frais, ce d'autant que, en l'espèce, la situation de la recourante a été évolutive tout au long de la procédure, y compris au stade du recours. La recourante sera ainsi déboutée de toutes ses conclusions en fixation de dépens à charge de l'Etat de Genève. * * * * *</w:t>
      </w:r>
    </w:p>
    <w:p>
      <w:r>
        <w:t>- 17/18 -</w:t>
      </w:r>
    </w:p>
    <w:p>
      <w:r>
        <w:t>C/19429/2020-CS PAR CES MOTIFS, La Chambre de surveillance : Préalablement: Ordonne la reprise de l'instruction de la procédure de recours contre l'ordonnance DTAE/2712/2021 du 26 avril 2021. A la forme : Déclare recevables les recours formés par A______ respectivement, le 30 juin 2021, contre l'ordonnance DTAE/2712/2021 du 26 avril 2021 et, le 28 décembre 2021, contre l'ordonnance DTAE/6884/2021du 28 juin 2021. Au fond : Déclare sans objet le recours formé le 30 juin 2021 contre l'ordonnance DTAE/2712/2021 du 26 avril 2021. Annule l'ordonnance DTAE/6884/2021 du 28 juin 2021. Déboute A______ de toutes autres prétentions. Sur les frais de recours: Dit que les frais judiciaires des deux recours sont laissés à la charge de l'Etat de Genève. Ordonne, en conséquence, aux Services financiers du Pouvoir judiciaire de restituer la somme de 400 fr. à A______. Dit qu'il n'est pas alloué de dépens. Siégeant : Monsieur Cédric-Laurent MICHEL, président; Mesdames Paola CAMPOMAGNANI et Jocelyne DEVILLE-CHAVANNE, juges; Madame Jessica QUINODOZ, greffière.</w:t>
      </w:r>
    </w:p>
    <w:p>
      <w:r>
        <w:t>- 18/18 -</w:t>
      </w:r>
    </w:p>
    <w:p>
      <w:r>
        <w:t>C/19429/2020-CS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