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DAS/75/2020 vom 2. Mai 2020</w:t>
      </w:r>
    </w:p>
    <w:p>
      <w:r>
        <w:t>GE Cour de justice, 2020-05-02, FR</w:t>
      </w:r>
    </w:p>
    <w:p>
      <w:r>
        <w:rPr>
          <w:b/>
        </w:rPr>
        <w:t xml:space="preserve">Quelle: </w:t>
      </w:r>
      <w:r>
        <w:t>https://mcp.opencaselaw.ch/entscheid/ge_gerichte_DAS_75_2020</w:t>
      </w:r>
    </w:p>
    <w:p>
      <w:r>
        <w:t>FR: GE_GERICHTE DAS/75/2020 du 2 mai 2020</w:t>
      </w:r>
    </w:p>
    <w:p>
      <w:r>
        <w:t>IT: GE_GERICHTE DAS/75/2020 del 2 maggio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par la personne concernée,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w:t>
      </w:r>
    </w:p>
    <w:p>
      <w:r>
        <w:t>- 5/7 -</w:t>
      </w:r>
    </w:p>
    <w:p>
      <w:r>
        <w:t>C/13372/2013-CS La loi exige la réalisation de trois conditions cumulatives, soit une cause de placement, un besoin d'assistance ou de traitement ne pouvant lui être fourni autrement et l'existence d'une institution appropriée (cf. notamment DAS/67/2014 c. 2.1). La personne concernée est libérée dès que les conditions du placement ne sont plus remplies (art. 426 al. 3 CC).</w:t>
      </w:r>
    </w:p>
    <w:p>
      <w:r>
        <w:rPr>
          <w:b/>
        </w:rPr>
        <w:t>E. 2.2</w:t>
      </w:r>
    </w:p>
    <w:p>
      <w:r>
        <w:t>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 lorsque la personne n'a pas la capacité de discernement requise pour saisir la nécessité du traitement et lorsqu'il n'existe pas de mesure appropriée moins rigoureuse. Ces conditions sont cumulatives (GUILLOD, CommFam 2013, no 10 ad art. 434).</w:t>
      </w:r>
    </w:p>
    <w:p>
      <w:r>
        <w:rPr>
          <w:b/>
        </w:rPr>
        <w:t>E. 3</w:t>
      </w:r>
    </w:p>
    <w:p>
      <w:r>
        <w:t>Dans le cas d'espèce, la recourante a été hospitalisée contre son gré le</w:t>
      </w:r>
    </w:p>
    <w:p>
      <w:r>
        <w:rPr>
          <w:b/>
        </w:rPr>
        <w:t>E. 4</w:t>
      </w:r>
    </w:p>
    <w:p>
      <w:r>
        <w:t>avril 2020 et a subi un traitement sans son consentement le 8 avril 2020. Il est établi par la procédure, et notamment par l'expertise ordonnée par le Tribunal de protection, que le placement était justifié au moment où il a été ordonné et que le traitement sans consentement était nécessaire, au vu du diagnostic posé par les experts et du comportement de la recourante marqué par un état d'agitation psychomotrice, avec troubles du sommeil et un discours confus avec idées délirantes à thématique paranoïaque, assorti d'un refus de soins et d'une anosognosie totale. De même le placement et la mesure de soins sans consentement étaient-ils toujours nécessaires, sur la base des mêmes éléments, au moment où le Tribunal de protection a statué le 23 avril 2020, le médecin de la clinique entendu ayant confirmé la présence des troubles de la patiente dont le comportement avait nécessité un traitement en urgence par injection et une mesure de chambre fermée.</w:t>
      </w:r>
    </w:p>
    <w:p>
      <w:r>
        <w:t>Reste cependant à examiner si la mesure de traitement sans consentement et le placement à des fins d'assistance répondent toujours aux conditions légales, actuellement. Force est d'admettre que tel n'est pas le cas. En effet, d'une part, la mesure de traitement sans consentement n'a plus lieu d'être puisque la recourante accepte depuis le 6 mai 2020 de recevoir une injection sans que les médecins n'aient besoin de l'y contraindre et, que d'autre part, le traitement prodigué à cette dernière a produit des effets bénéfiques sur son état de santé puisqu'elle ne présente actuellement pratiquement aucun symptôme. Si certes la recourante ne reconnaît toujours pas les comportements inquiétants qui ont conduit à son hospitalisation, le médecin entendu lors de l'audience du 11 mai 2020 n'a pas indiqué qu'elle devrait recevoir en clinique un traitement ou des soins pouvant améliorer cette prise de conscience. Au contraire, le médecin a précisé que</w:t>
      </w:r>
    </w:p>
    <w:p>
      <w:r>
        <w:t>- 6/7 -</w:t>
      </w:r>
    </w:p>
    <w:p>
      <w:r>
        <w:t>C/13372/2013-CS l'injection qui lui avait été faite le 6 mai 2020 produirait ses effets jusqu'au</w:t>
      </w:r>
    </w:p>
    <w:p>
      <w:r>
        <w:rPr>
          <w:b/>
        </w:rPr>
        <w:t>E. 6</w:t>
      </w:r>
    </w:p>
    <w:p>
      <w:r>
        <w:t>juin 2020, aucun autre médicament ou autre soin n'étant préconisé dans l'intervalle et l'état purement clinique de la recourante ne nécessitant pas la poursuite de son hospitalisation. L'humeur de la recourante est donc stabilisée. Si la recourante présente encore une certaine anosognosie de son état, une poursuite du placement ne semble pas susceptible d'avoir un effet bénéfique sur cet état. Par ailleurs, un traitement ambulatoire est parfaitement envisageable, une psychiatre privée ayant été contactée pour assurer le suivi de la personne concernée. La recourante a accepté tant la poursuite de son traitement, en l'état des injections mensuelles d'Abilify, que son suivi par la Dre F______, psychiatre. Les conditions au placement ne sont donc plus réalisées. La mesure de placement étant une atteinte grave à la liberté personnelle, elle n'apparaît en l'occurrence plus proportionnée avec le risque initial retenu pour la recourante et pour les tiers, en lien avec son besoin de traitement. Par conséquent, en application de l'art. 426 al. 3 CC, la recourante doit être libérée, la durée du séjour ayant été suffisante pour améliorer son état et organiser son suivi hors institution. Dans la mesure où le traitement sans consentement et le placement étaient encore justifiés au moment où le Tribunal de protection a prononcé l'ordonnance attaquée, le recours sera rejeté. Dans la mesure toutefois où le traitement sans consentement et le placement ne remplissent plus les conditions légales au jour de la présente décision, la mesure de contrainte sera formellement levée et la libération de la recourante prononcée. 4. La procédure est gratuite (art. 22 al. 4 LaCC). * * * * *</w:t>
      </w:r>
    </w:p>
    <w:p>
      <w:r>
        <w:t>- 7/7 -</w:t>
      </w:r>
    </w:p>
    <w:p>
      <w:r>
        <w:t>C/13372/2013-CS PAR CES MOTIFS, La Chambre de surveillance : A la forme : Déclare recevable le recours formé le 2 mai 2020 par A______ contre l'ordonnance DTAE/2060/2020 du 23 avril 2020 rendue par le Tribunal de protection de l'adulte et de l'enfant dans la cause C/13372/2013-1. Au fond : Le rejette et confirme l'ordonnance attaquée. Cela fait : Lève la mesure de traitement sans consentement ordonnée le 8 avril 2020 et ordonne la libération de A______. Dit que la procédure est gratuite. Siégeant : Madame Paola CAMPOMAGNANI, présidente,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