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DAS/73/2021 vom 14. April 2020</w:t>
      </w:r>
    </w:p>
    <w:p>
      <w:r>
        <w:t>GE Cour de justice, 2020-04-14, FR</w:t>
      </w:r>
    </w:p>
    <w:p>
      <w:r>
        <w:rPr>
          <w:b/>
        </w:rPr>
        <w:t xml:space="preserve">Quelle: </w:t>
      </w:r>
      <w:r>
        <w:t>https://mcp.opencaselaw.ch/entscheid/ge_gerichte_DAS_73_2021</w:t>
      </w:r>
    </w:p>
    <w:p>
      <w:r>
        <w:t>FR: GE_GERICHTE DAS/73/2021 du 14 avril 2020</w:t>
      </w:r>
    </w:p>
    <w:p>
      <w:r>
        <w:t>IT: GE_GERICHTE DAS/73/2021 del 14 aprile 2020</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2.1.1 L’autorité de protection de l’enfant prend les mesures nécessaires pour protéger l’enfant si son développement est menacé et que les père et mère n’y remédient pas d’eux-mêmes ou soient hors d’état de le faire (art. 307 al. 1 CC).</w:t>
      </w:r>
    </w:p>
    <w:p>
      <w:r>
        <w:t>- 9/12 -</w:t>
      </w:r>
    </w:p>
    <w:p>
      <w:r>
        <w:t>C/27295/2017-CS Selon l’art. 307 al. 3 CC, l’autorité de protection peut en particulier rappeler les père et mère, les parents nourriciers ou l’enfant à leurs devoirs, donner des indications ou instructions relatives aux soins, à l’éducation et à la formation de l’enfant et désigner une personne ou un office qualifié qui aurait un droit de regard et d’information. 2.1.2 Le Tribunal fédéral a rappelé dans un arrêt récent (5A_887/2017 du 16 février 2018 consid. 5.1) que pour qu’une telle mesure soit ordonnée, il faut que le développement de l’enfant soit menacé, que les parents n’y remédient pas d’eux-mêmes ou soient hors d’état de le faire et que cette menace ne puisse être écartée par des mesures plus limitées (arrêt 5A_65/2017 du 24 mai 2017 consid. 3.2). La mesure ordonnée doit en outre respecter le principe de proportionnalité. Ce principe est en effet la pierre angulaire du système de protection civile de l’enfant, la mesure ordonnée devant notamment être apte à atteindre le but de protection visé et nécessaire à cette fin (principe de proportionnalité au sens étroit; arrêt du Tribunal fédéral 5A_840/2010 du 31 mai 2011 consid. 3.1.2 et la doctrine citée). L’autorité qui ordonne une mesure de protection de l’enfant dispose à cet égard d’un large pouvoir d’appréciation (art. 4 CC; arrêt du Tribunal fédéral 5A_656/2020 du 13 janvier 2011 consid. 3). Le choix de la mesure nécessite en effet une part importante d’anticipation et de pronostic quant à l’évolution des circonstances déterminantes (ATF 120 II 384 consid. 4d); il dépendra de toutes les données concrètes du cas, non seulement sous l’angle juridique, mais aussi en fonction des aspects sociaux, médicaux et éducatifs de la situation et de la constellation familiale (arrêt du Tribunal fédéral 5A_615/2011 du 5 décembre 2011 consid.4.1 et la doctrine citée).</w:t>
      </w:r>
    </w:p>
    <w:p>
      <w:r>
        <w:rPr>
          <w:b/>
        </w:rPr>
        <w:t>E. 2.2</w:t>
      </w:r>
    </w:p>
    <w:p>
      <w:r>
        <w:t>En l’espèce, le Tribunal de protection a ordonné un suivi thérapeutique individuel en faveur de chacun des enfants E______ et K______. Ordonner la mise en place d’un tel suivi fait partie des mesures qui peuvent être prononcées par l’autorité de protection sur la base de l’art. 307 al. 3 CC. Cependant, le préalable à la mise en place d’une telle mesure est que le développement de l’enfant soit menacé. Si, certes, le recourant manifeste son opposition par une attitude et des propos parfois désobligeants à l’égard des intervenants sociaux et de l’autorité de surveillance, sur le fond, il n’a pas tort lorsqu’il considère que la mesure ordonnée n’est pas proportionnée. En effet, la première condition, soit la mise en danger du développement des mineurs, fait défaut. Il ne ressort en effet ni du rapport SPMi, ni des différents intervenants entourant les mineurs, ni de l’évaluation effectuée par l’OMP que le développement de ceux-ci serait menacé, que ce soit au niveau physique ou psychique. Le SPMi, comme il l’a rappelé devant la Cour, n’a pas préconisé la prise de mesures de protection en faveur des mineurs, à l’issue de son évaluation sociale. Il avait, en effet, clairement indiqué dans son rapport que les mineurs ne faisaient l’objet d’aucune maltraitance, ni d’aucune négligence.</w:t>
      </w:r>
    </w:p>
    <w:p>
      <w:r>
        <w:t>- 10/12 -</w:t>
      </w:r>
    </w:p>
    <w:p>
      <w:r>
        <w:t>C/27295/2017-CS L’OMP n’a pas non plus estimé que la mise en place d’un suivi thérapeutique était indispensable, tout au plus l’a-t-il recommandé pour le seul mineur K______, en raison des quelques difficultés relevées. La mère est décrite comme protectrice et adéquate et sait faire appel aux autorités en cas de nécessité, ce qui a été le cas lorsqu’elle a émis des doutes à l’égard du comportement du père, doutes qui n’ont pas été objectivés, ni dans la procédure pénale, ni dans la présente procédure, et qui sont survenus dans un contexte scolaire particulier, d’autres enfants ayant adopté des comportements à connotation sexuelle au sein de l’école fréquentée par le jeune E______, sujet des préoccupations initiales. Or, l’enfant E______ ne présente pas de problèmes particuliers. Il était un peu agité et bagarreur en classe, mais il s’est depuis lors calmé et a été recadré, comme ses camarades concernés, par l’infirmière scolaire, suite aux comportements à connotation sexuelle inadaptés qu’ils avaient adoptés. Son pédiatre n’a relevé aucun manquement dans sa prise en charge médicale, ni aucune crainte dans son développement. De même, les thérapeutes de l’OMP n’ont pas relevé de problème. Ordonner la mise en place d’un suivi thérapeutique le concernant, contre l’avis de ses parents, afin de ne pas stigmatiser son frère, alors même qu’aucune nécessité médicale ni aucune mise en danger de son développement n’ont été mises en exergue, est une mesure disproportionnée. La solution n'est pas différente pour le cadet. Si certes, ce dernier s’est montré agité et peu impliqué dans ses apprentissages scolaires et est décrit par les thérapeutes de l’OMP comme un enfant perfectionniste, présentant une certaine désorganisation de la pensée, ils ont uniquement relevé qu’une psychothérapie pourrait l’aider à se calmer et serait favorable à sa capacité d’apprentissage. Lesdits thérapeutes n’ont cependant pas indiqué que le mineur souffrirait d’une pathologie particulière, ni que son développement serait menacé en l’absence de la mise en place d’un tel suivi. Bien que le recourant interpelle les différents intervenants par son attitude oppositionnelle dans le cadre de la présente procédure, cette dernière n’a pas mis en évidence un manque de soins apportés aux mineurs concernés, ni une mise en danger de ces derniers, que les parents ne seraient pas en mesure de pallier. Si un suivi thérapeutique serait souhaitable pour le mineur K______, il n’est cependant pas indispensable, en l’état, à son bon développement. Les recourants, notamment la mère, très impliquée auprès de ses enfants, ont toujours su prendre les mesures adéquates par le passé. C’est ainsi que l’enfant K______ a pu être pris en charge très tôt par un neurologue, qui a mis en évidence qu’il était atteint de la maladie de West, maladie neurologique, pour laquelle il a été suivi et traité. Rien ne permet de considérer que les parents ne prendraient pas les mesures adéquates et nécessaires dans le futur, si l’un ou l’autre des mineurs devait nécessiter impérativement une prise en charge thérapeutique afin de garantir son bon développement, étant précisé qu’ils sont régulièrement suivis par leur pédiatre. Le</w:t>
      </w:r>
    </w:p>
    <w:p>
      <w:r>
        <w:t>- 11/12 -</w:t>
      </w:r>
    </w:p>
    <w:p>
      <w:r>
        <w:t>C/27295/2017-CS Tribunal de protection aurait donc dû se limiter, dans le respect du principe de proportionnalité, au vu de l'instruction qu'il a menée, à inviter les parents à entreprendre une thérapie pour le seul mineur K______, mais non l'ordonner, ce d'autant que la mesure ordonnée, non assortie d’une mesure de curatelle ad hoc, interpelle quant à son efficacité. Le recours est admis et l’ordonnance est annulée.</w:t>
      </w:r>
    </w:p>
    <w:p>
      <w:r>
        <w:t>Compte tenu de ce qui précède, la question de la modification de la composition du Tribunal de protection en cours de procédure, soulevée par les recourants, peut demeurer indécise.</w:t>
      </w:r>
    </w:p>
    <w:p>
      <w:r>
        <w:rPr>
          <w:b/>
        </w:rPr>
        <w:t>E. 3</w:t>
      </w:r>
    </w:p>
    <w:p>
      <w:r>
        <w:t>La procédure de recours, qui porte sur une mesure de protection de l'enfant, est gratuite (art. 81 al. 1 LaCC). * * * * *</w:t>
      </w:r>
    </w:p>
    <w:p>
      <w:r>
        <w:t>- 12/12 -</w:t>
      </w:r>
    </w:p>
    <w:p>
      <w:r>
        <w:t>C/27295/2017-CS PAR CES MOTIFS, La Chambre de surveillance : A la forme : Déclare recevable le recours formé le 14 avril 2020 par A______ et B______ et contre l’ordonnance DTAE/8020/2019 rendue le 11 décembre 2019 par le Tribunal de protection de l’adulte et de l’enfant dans la cause C/27295/2017. Au fond : L’admet. Cela fait : Annule l’ordonnance entreprise.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