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DAS/70/2015 vom 7. Mai 2015</w:t>
      </w:r>
    </w:p>
    <w:p>
      <w:r>
        <w:t>GE Cour de justice, 2015-05-07, FR</w:t>
      </w:r>
    </w:p>
    <w:p>
      <w:r>
        <w:rPr>
          <w:b/>
        </w:rPr>
        <w:t xml:space="preserve">Quelle: </w:t>
      </w:r>
      <w:r>
        <w:t>https://mcp.opencaselaw.ch/entscheid/ge_gerichte_DAS_70_2015</w:t>
      </w:r>
    </w:p>
    <w:p>
      <w:r>
        <w:t>FR: GE_GERICHTE DAS/70/2015 du 7 mai 2015</w:t>
      </w:r>
    </w:p>
    <w:p>
      <w:r>
        <w:t>IT: GE_GERICHTE DAS/70/2015 del 7 maggio 2015</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Les causes en matière successorale sont de nature pécuniaire (arrêt du Tribunal fédéral 5A_800/2013 du 18 février 2014 consid. 1.2). L'appel doit être motivé (art. 311 al. 1 CPC).</w:t>
      </w:r>
    </w:p>
    <w:p>
      <w:r>
        <w:rPr>
          <w:b/>
        </w:rPr>
        <w:t>E. 1.2</w:t>
      </w:r>
    </w:p>
    <w:p>
      <w:r>
        <w:t>En l'espèce, la substance de la succession de E______ n'est pas connue. Il sera toutefois admis, à défaut d'éléments contraires, que la valeur de cette succession est supérieure à 10'000 fr. L'appel a pour le surplus été formé en temps utile par-devant la juridiction susceptible d'en connaître et selon les formes requises. Il est dès lors recevable.</w:t>
      </w:r>
    </w:p>
    <w:p>
      <w:r>
        <w:t>- 4/6 -</w:t>
      </w:r>
    </w:p>
    <w:p>
      <w:r>
        <w:t>C/26977/2014-CS</w:t>
      </w:r>
    </w:p>
    <w:p>
      <w:r>
        <w:rPr>
          <w:b/>
        </w:rPr>
        <w:t>E. 1.3</w:t>
      </w:r>
    </w:p>
    <w:p>
      <w:r>
        <w:t>La Cour revoit la cause en fait et en droit, avec un plein pouvoir d'examen (art. 310 CPC; RETORNAZ, L'appel et le recours, in Procédure civile suisse, Neuchâtel 2010, p. 391).</w:t>
      </w:r>
    </w:p>
    <w:p>
      <w:r>
        <w:rPr>
          <w:b/>
        </w:rPr>
        <w:t>E. 2.1</w:t>
      </w:r>
    </w:p>
    <w:p>
      <w:r>
        <w:t>Si le disposant n'en a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 L'exécuteur testamentaire nommément désigné par le testament et disposé à se charger de la tâche que le disposant lui a assignée doit prendre soin de la succession, lors même qu'une action en nullité est à prévoir; en pareil cas, il ne doit prendre que des mesures conservatoires et les mesures d'administration courante, ne procédant à des aliénations que si des raisons pressantes l'exigent; il agit sous sa propre responsabilité, et les mesures qu'il prend peuvent faire l'objet d'un recours (ATF 91 II 177, JdT 1966 I 150), car il est soumis à la surveillance de l'autorité compétente prévue à l'art. 595 CC (ATF 66 II 148, JdT 1941 I 10).</w:t>
      </w:r>
    </w:p>
    <w:p>
      <w:r>
        <w:rPr>
          <w:b/>
        </w:rPr>
        <w:t>E. 2.2</w:t>
      </w:r>
    </w:p>
    <w:p>
      <w:r>
        <w:t>Les héritiers du défunt qui n'a pas laissé de postérité sont le père et la mère (art. 458 al. 1 CC). Celui qui laisse des descendants, ses père et mère, son conjoint ou son partenaire enregistré, a la faculté de disposer pour cause de mort de ce qui excède le montant de leur réserve (art. 470 al. 1 CC). La réserve est, pour le père ou la mère, de la moitié (art. 471 al. 2 CC). L'héritier réservataire peut être déshérité par disposition pour cause de mort lorsqu'il a commis une infraction pénale grave contre le défunt ou l'un de ses proches ou lorsqu'il a gravement failli aux devoirs que la loi lui impose envers le défunt ou sa famille (art. 477 ch. 1 et 2 CC). Tout héritier ou légataire intéressé peut intenter une action en nullité des dispositions pour cause de mort (art. 519 al. 2 CC) dans les délais fixés par l'art. 521 CC. Les héritiers qui ne reçoivent pas le montant de leur réserve ont l'action en réduction jusqu'à due concurrence contre les libéralités qui excèdent la quotité disponible (art. 522 al. 1 CC). L'action par laquelle un héritier, d'une part, conteste son exhérédation en alléguant que l'indication relative à la cause de celle-ci fait défaut ou est inexacte et, d'autre part, réclame sa réserve est une variante de l'action en réduction de l'art. 522 (ATF 85 II 597, JdT 1960 I 300).</w:t>
      </w:r>
    </w:p>
    <w:p>
      <w:r>
        <w:rPr>
          <w:b/>
        </w:rPr>
        <w:t>E. 2.3</w:t>
      </w:r>
    </w:p>
    <w:p>
      <w:r>
        <w:t>Dans le cas d'espèce, E______ a, par testament public du ______ 2006, déclaré exhéréder sa mère biologique C______, héritière légale et réservataire selon les art. 458 al. 1 et 471 al. 2 CC (sous réserve de la rupture du lien de filiation en raison de l'éventuelle adoption de E______ par A______) et a</w:t>
      </w:r>
    </w:p>
    <w:p>
      <w:r>
        <w:t>- 5/6 -</w:t>
      </w:r>
    </w:p>
    <w:p>
      <w:r>
        <w:t>C/26977/2014-CS institué héritière du solde de ses biens - son père ayant été réduit à sa réserve légale - sa belle-mère A______, laquelle figure sur un document d'état civil comme étant sa mère adoptive. Sur la base du dossier, il n'est pas possible de déterminer quelle instance officielle a prononcé ladite adoption, à quelle date et quels en sont les effets sur les liens de filiation entre le défunt et sa mère biologique. Or, C______ a manifesté son intention de contester son exhérédation, puisqu'elle s'est adressée à la Justice de paix afin de s'opposer à la délivrance d'un certificat d'héritier. Il lui appartiendra dès lors, si elle s'estime fondée à le faire, d'agir dans les délais légaux devant le Tribunal de première instance afin de défendre ses droits. En l'état et comme l'a relevé à juste titre le Juge de paix, la dévolution de la succession de E______ est incertaine. En cas d'action intentée par C______, il appartiendra en effet au Tribunal civil de se prononcer sur les effets de l'éventuelle adoption de E______ par A______ et le cas échéant sur la validité de la clause d'exhérédation. Dans l'attente de droit définitivement connu sur la personne des héritiers de E______, il est nécessaire de préserver les biens appartenant à la succession, conformément à la jurisprudence du Tribunal fédéral rappelée ci-dessus. La décision du 23 février 2015 de la Justice de paix, qui restreint les pouvoirs de l'exécuteur testamentaire aux seuls actes de gestion conservatoire nécessaires, ne fait qu'appliquer cette jurisprudence et ne préjuge pas de l'issue de l'éventuelle procédure que pourrait intenter C______. Il n'appartient par ailleurs pas à la Justice de paix, contrairement à ce que semblent croire les appelants, de statuer sur la validité des motifs d'exhérédation contenus dans le testament de E______. Infondé, l'appel sera rejeté et la décision querellée confirmée.</w:t>
      </w:r>
    </w:p>
    <w:p>
      <w:r>
        <w:rPr>
          <w:b/>
        </w:rPr>
        <w:t>E. 3</w:t>
      </w:r>
    </w:p>
    <w:p>
      <w:r>
        <w:t>Les frais de la procédure d'appel seront fixés à 500 fr. (art. 26 et 36 du Règlement fixant le tarif des frais en matière civile – RTFMC) et mis conjointement et solidairement à la charge des appelants, qui succombent (art. 106 al. 1 CPC). Ils sont entièrement compensés avec l'avance de frais de même montant déjà versée, qui reste acquise à l'Etat. * * * * *</w:t>
      </w:r>
    </w:p>
    <w:p>
      <w:r>
        <w:t>- 6/6 -</w:t>
      </w:r>
    </w:p>
    <w:p>
      <w:r>
        <w:t>C/26977/2014-CS PAR CES MOTIFS, La Chambre civile : A la forme : Déclare recevable l'appel interjeté par A______ et B______ contre la décision rendue le 23 février 2015 par la Justice de paix dans la cause C/26977/2014. Au fond : Le rejette et confirme la décision querellée. Sur les frais : Fixe les frais judiciaires à 500 fr., les met à la charge de A______ et de B______, conjointement et solidairement et les compense avec l'avance de frais,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