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DAS/6/2018 vom 19. April 2017</w:t>
      </w:r>
    </w:p>
    <w:p>
      <w:r>
        <w:t>GE Cour de justice, 2017-04-19, FR</w:t>
      </w:r>
    </w:p>
    <w:p>
      <w:r>
        <w:rPr>
          <w:b/>
        </w:rPr>
        <w:t xml:space="preserve">Quelle: </w:t>
      </w:r>
      <w:r>
        <w:t>https://mcp.opencaselaw.ch/entscheid/ge_gerichte_DAS_6_2018</w:t>
      </w:r>
    </w:p>
    <w:p>
      <w:r>
        <w:t>FR: GE_GERICHTE DAS/6/2018 du 19 avril 2017</w:t>
      </w:r>
    </w:p>
    <w:p>
      <w:r>
        <w:t>IT: GE_GERICHTE DAS/6/2018 del 19 aprile 2017</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Le recourant conteste avoir besoin d'une mesure de protection.</w:t>
      </w:r>
    </w:p>
    <w:p>
      <w:r>
        <w:t>- 5/7 -</w:t>
      </w:r>
    </w:p>
    <w:p>
      <w:r>
        <w:t>C/8726/2017-CS</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Dans le cas d'espèce, il ressort du dossier que le recourant souffre de dyslexie et d'un retard mental, qu'il ne sait pas lire, est dans l'impossibilité d'écrire une phrase simple et présente un déficit au niveau de la mémoire immédiate notamment. Il est au bénéfice d'une rente invalidité qui ne lui permet pas de subvenir à ses besoins, sous réserve du versement de prestations complémentaires. Le recourant semble également présenter des difficultés relationnelles, qui le conduisent à adopter des comportements violents. Le recourant semble ignorer l'ampleur de ses difficultés et considère n'avoir pas besoin d'une mesure de protection du simple fait qu'il ne vit désormais plus chez ses parents. Il ressort certes de son recours qu'il envisage de vivre pendant quelques années en Corée, pays dans lequel il séjournait au moment où la Chambre de surveillance a été saisie. Ce projet, au sujet duquel aucune explication concrète n'a été fournie, ne paraît toutefois pas s'être concrétisé en l'état, puisque le recourant annonçait son retour à Genève pour le 16 janvier 2018. De retour à Genève, le recourant devra gérer ses revenus, trouver un logement, ne serait-ce que provisoire et assurer le paiement de ses diverses charges. Il conviendra également, s'il entend véritablement s'installer pour une durée prolongée en Corée, qu'il organise son départ, notamment sur le plan administratif. Or, compte tenu de son retard mental et de ses difficultés de lecture et d'écriture, il aura besoin d'aide pour assumer l'ensemble de ces tâches, les très nombreuses poursuites qu'il a accumulées</w:t>
      </w:r>
    </w:p>
    <w:p>
      <w:r>
        <w:t>- 6/7 -</w:t>
      </w:r>
    </w:p>
    <w:p>
      <w:r>
        <w:t>C/8726/2017-CS démontrant les difficultés qu'il rencontre face à la gestion d'un budget et des affaires courantes. Au vu de ce qui précède, la mesure de protection prononcée par le Tribunal de protection est adéquate et doit être confirmée. La situation pourra être revue à l'avenir si la mesure ne devait plus s'avérer nécessaire. Le recours est dès lors infondé.</w:t>
      </w:r>
    </w:p>
    <w:p>
      <w:r>
        <w:rPr>
          <w:b/>
        </w:rPr>
        <w:t>E. 3</w:t>
      </w:r>
    </w:p>
    <w:p>
      <w:r>
        <w:t>Les frais de la procédure, arrêtés à 400 fr. (art. 67B Règlement fixant le tarif des frais en matière civile, RTFMC), seront mis à la charge du recourant, qui succombe. Ils seront compensés avec l'avance de frais de même montant, qui reste acquise à l'Etat (art. 111 al. 1 CPC). * * * * *</w:t>
      </w:r>
    </w:p>
    <w:p>
      <w:r>
        <w:t>- 7/7 -</w:t>
      </w:r>
    </w:p>
    <w:p>
      <w:r>
        <w:t>C/8726/2017-CS PAR CES MOTIFS, La Chambre de surveillance : A la forme : Déclare recevable le recours formé le 15 novembre 2017 par A______ contre l'ordonnance DTAE/5405/2017 rendue le 6 septembre 2017 par le Tribunal de protection de l'adulte et de l'enfant dans la cause C/8726/2017. Au fond : Le rejette. Sur les frais : Arrête les frais du recours à 400 fr., les met à la charge de A______ et les compense avec l'avance de frais versée, qui reste acquise à l'Etat.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