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DAS/64/2021 vom 20. Juli 2020</w:t>
      </w:r>
    </w:p>
    <w:p>
      <w:r>
        <w:t>GE Cour de justice, 2020-07-20, FR</w:t>
      </w:r>
    </w:p>
    <w:p>
      <w:r>
        <w:rPr>
          <w:b/>
        </w:rPr>
        <w:t xml:space="preserve">Quelle: </w:t>
      </w:r>
      <w:r>
        <w:t>https://mcp.opencaselaw.ch/entscheid/ge_gerichte_DAS_64_2021</w:t>
      </w:r>
    </w:p>
    <w:p>
      <w:r>
        <w:t>FR: GE_GERICHTE DAS/64/2021 du 20 juillet 2020</w:t>
      </w:r>
    </w:p>
    <w:p>
      <w:r>
        <w:t>IT: GE_GERICHTE DAS/64/2021 del 20 luglio 2020</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prises sur mesures provisionnelles peuvent faire l'objet d'un recours auprès de la Chambre de surveillance de la Cour de justice dans un délai de dix jours à compter de leur notification (art. 445 al. 3 et 450b al. 2 CC; 53 al. 2 LaCC). Le recours doit être dûment motivé et interjeté par écrit (art. 450 al. 3 CC). En l'espèce, le recours formé par la mère des mineurs concernés est recevable, dès lors qu'il respecte les règles de forme et de délai.</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parents des mineurs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se plaint des modalités du droit de visite qui ont été fixées en faveur du père, sur mesures provisionnelles, par le Tribunal de protection.</w:t>
      </w:r>
    </w:p>
    <w:p>
      <w:r>
        <w:t>- 7/10 -</w:t>
      </w:r>
    </w:p>
    <w:p>
      <w:r>
        <w:t>C/7933/2014-CS</w:t>
      </w:r>
    </w:p>
    <w:p>
      <w:r>
        <w:t>2.1.1 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101ss, p. 105). Le rapport de l'enfant avec ses deux parents est essentiel et peut jouer un rôle décisif dans le processus de sa recherche d'identité (ATF 127 III 295 consid. 4a; 123 III 445 consid. 3c; 122 III 404 consid. 3a).</w:t>
      </w:r>
    </w:p>
    <w:p>
      <w:r>
        <w:t>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et 5C.58/2004; Kantonsgericht SG in RDT 2000 p. 204; VEZ, op. cit p. 122; MEIER/STETTLER, Droit de la filiation, 3ème éd. 2006, p. 148/149 n. 270/272, p. 157 n. 283).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op. cit. p. 24).</w:t>
      </w:r>
    </w:p>
    <w:p>
      <w:r>
        <w:t>- 8/10 -</w:t>
      </w:r>
    </w:p>
    <w:p>
      <w:r>
        <w:t>C/7933/2014-CS</w:t>
      </w:r>
    </w:p>
    <w:p>
      <w:r>
        <w:rPr>
          <w:b/>
        </w:rPr>
        <w:t>E. 2.2</w:t>
      </w:r>
    </w:p>
    <w:p>
      <w:r>
        <w:t>En l'espèce, la recourante qui avait unilatéralement suspendu tout droit de visite du père sur ses enfants en mars 2020, a accepté dès le départ de la compagne de celui-ci pour l’Italie, et avant le prononcé de la décision contestée, que les visites des mineurs chez leur père reprennent, estimant que tout danger était écarté. Elle n’a jamais remis en question les capacités parentales du père, lesquelles ont été confirmées par le SEASP, et ne s’est pas opposée à la fixation d’un large droit de visite sur mesures provisionnelles, lequel était recommandé par le SEASP. Elle fonde son recours sur le fait que l’organisation qu’elle propose dorénavant, quelque peu différente de celle avec laquelle elle était d’accord devant le Tribunal de protection, serait meilleure que la solution retenue par celui- ci dans son ordonnance. Elle ne soutient cependant pas, à raison, que les relations personnelles fixées par ledit Tribunal seraient contraires à l’intérêt des mineurs. L’argument de la recourante consistant à souhaiter plus de détails sur les horaires du droit de visite du jeudi n’est pas pertinent. D’une part, elle a elle-même accordé très peu d'importance à cette précision devant le Tribunal de protection, ne sollicitant pas un horaire fixe pour la prise en charge du jeudi soir et, d’autre part, elle a indiqué avoir toujours trouvé des solutions avec le père et ce malgré leurs relations tendues et n'a pas relaté, dans son recours, d’événements permettant de considérer que tel ne serait plus le cas depuis le prononcé de l’ordonnance sur mesures provisionnelles. Les parents des mineurs disposent par ailleurs du soutien de curatrices d'organisation et de surveillance du droit de visite, dont la mission consiste notamment à élaborer le calendrier des visites et à mettre en place le détail des horaires de prise en charge. La recourante soutient qu’il serait préférable que le mineur F______ ne passe pas trois nuits consécutives chez son père, l’enfant manifestant encore des craintes à passer les nuits chez celui-ci. L’organisation qu’elle propose, limitée à deux nuits consécutives, serait ainsi dans l’intérêt du mineur. La recourante ne peut cependant être suivie. En effet, les craintes du mineur de passer des nuits chez son père ne sont aucunement objectivées par le dossier, étant précisé que la personne qu’il disait craindre ne demeure plus au domicile paternel. Par ailleurs, l’enfant F______ a déjà passé plusieurs semaines de vacances chez son père, sans qu’aucun problème n’ait été rapporté. Il partage par ailleurs ce temps de visite avec sa sœur E______, ce qui est bénéfique aux deux enfants.</w:t>
      </w:r>
    </w:p>
    <w:p>
      <w:r>
        <w:t>Enfin, les considérations de la recourante concernant la limitation des trajets à effectuer par le père entre son domicile et l’école, respectivement la crèche, outre le fait qu’elles ne sont pas relayées par le père qui ne s’en plaint pas, ne concernent aucunement l’intérêt des mineurs.</w:t>
      </w:r>
    </w:p>
    <w:p>
      <w:r>
        <w:t>La recourante ne fait qu’opposer sa propre vision de l’organisation des relations personnelles entre les enfants et leur père, sans démontrer que l’organisation mise en place par le Tribunal de protection sur mesures provisionnelles serait contraire à l’intérêt de ceux-ci, ce qui entraîne le rejet de son recours, pour autant qu’il</w:t>
      </w:r>
    </w:p>
    <w:p>
      <w:r>
        <w:t>- 9/10 -</w:t>
      </w:r>
    </w:p>
    <w:p>
      <w:r>
        <w:t>C/7933/2014-CS présente encore un quelconque intérêt, les parents des mineurs, sur proposition du Tribunal de protection et du SEASP, ayant depuis lors "tenté" de mettre en place une garde alternée.</w:t>
      </w:r>
    </w:p>
    <w:p>
      <w:r>
        <w:rPr>
          <w:b/>
        </w:rPr>
        <w:t>E. 3</w:t>
      </w:r>
    </w:p>
    <w:p>
      <w:r>
        <w:t>Les frais de la procédure, arrêtés à 400 fr., seront mis à la charge de la recourante qui succombe, et laissés provisoirement à la charge de l’Etat de Genève, cette dernière étant au bénéfice de l’assistance judiciaire.</w:t>
      </w:r>
    </w:p>
    <w:p>
      <w:r>
        <w:t>* * * * *</w:t>
      </w:r>
    </w:p>
    <w:p>
      <w:r>
        <w:t>- 10/10 -</w:t>
      </w:r>
    </w:p>
    <w:p>
      <w:r>
        <w:t>C/7933/2014-CS PAR CES MOTIFS, La Chambre de surveillance : A la forme : Déclare recevable le recours formé le 20 juillet 2020 par A______ contre l’ordonnance DTAE/3550/2020 rendue le 2 juillet 2020 par le Tribunal de protection de l’adulte et de l’enfant dans la cause C/7933/2014. Au fond : Le rejette. Sur les frais : Arrête les frais judiciaires à 400 fr., les met à la charge de A______ et les laisse provisoirement à la charge de l’Etat de Genève, cette dernière plaidant au bénéfice de l’assistance judiciaire. Siégeant : Monsieur Cédric-Laurent MICHEL, président; Mesdames Paola CAMPOMAGNANI et Jocelyne DEVILLE-CHAVANNE, juges;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