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DAS/59/2013 vom 30. April 2013</w:t>
      </w:r>
    </w:p>
    <w:p>
      <w:r>
        <w:t>GE Cour de justice, 2013-04-30, FR</w:t>
      </w:r>
    </w:p>
    <w:p>
      <w:r>
        <w:rPr>
          <w:b/>
        </w:rPr>
        <w:t xml:space="preserve">Quelle: </w:t>
      </w:r>
      <w:r>
        <w:t>https://mcp.opencaselaw.ch/entscheid/ge_gerichte_DAS_59_2013</w:t>
      </w:r>
    </w:p>
    <w:p>
      <w:r>
        <w:t>FR: GE_GERICHTE DAS/59/2013 du 30 avril 2013</w:t>
      </w:r>
    </w:p>
    <w:p>
      <w:r>
        <w:t>IT: GE_GERICHTE DAS/59/2013 del 30 aprile 2013</w:t>
      </w:r>
    </w:p>
    <w:p>
      <w:pPr>
        <w:pStyle w:val="Heading2"/>
      </w:pPr>
      <w:r>
        <w:t>Volltext</w:t>
      </w:r>
    </w:p>
    <w:p>
      <w:r>
        <w:t>C/5894/2012 DAS/59/2013 du 30.04.2013 sur DCT/5718/2012 ( PAE ) , PARTIELMNT ADMIS Normes : CC273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